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9D" w:rsidRPr="00915592" w:rsidRDefault="00CC0429" w:rsidP="00CC0429">
      <w:pPr>
        <w:jc w:val="center"/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b/>
          <w:bCs/>
          <w:sz w:val="36"/>
          <w:lang w:val="es-CR"/>
        </w:rPr>
        <w:t>Evaluación de la calidad de los ambientes de aprendizaje en aulas de Transición en centros educativos de la Gran Área Metropolitana.</w:t>
      </w:r>
    </w:p>
    <w:p w:rsidR="0027009D" w:rsidRPr="0027009D" w:rsidRDefault="0027009D">
      <w:pPr>
        <w:rPr>
          <w:rFonts w:ascii="Arial" w:hAnsi="Arial" w:cs="Arial"/>
          <w:b/>
          <w:sz w:val="24"/>
          <w:lang w:val="es-CR"/>
        </w:rPr>
      </w:pPr>
    </w:p>
    <w:p w:rsidR="001242FD" w:rsidRPr="00915592" w:rsidRDefault="0027009D">
      <w:pPr>
        <w:rPr>
          <w:rFonts w:ascii="Arial" w:hAnsi="Arial" w:cs="Arial"/>
          <w:b/>
          <w:sz w:val="24"/>
          <w:szCs w:val="24"/>
          <w:lang w:val="es-CR"/>
        </w:rPr>
      </w:pPr>
      <w:r w:rsidRPr="00915592">
        <w:rPr>
          <w:rFonts w:ascii="Arial" w:hAnsi="Arial" w:cs="Arial"/>
          <w:b/>
          <w:sz w:val="24"/>
          <w:szCs w:val="24"/>
          <w:lang w:val="es-CR"/>
        </w:rPr>
        <w:t>Autores:</w:t>
      </w:r>
    </w:p>
    <w:p w:rsidR="0027009D" w:rsidRDefault="00BE38B4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Dunia Villalobos</w:t>
      </w:r>
    </w:p>
    <w:p w:rsidR="00BE38B4" w:rsidRPr="00915592" w:rsidRDefault="00BE38B4">
      <w:pPr>
        <w:rPr>
          <w:rFonts w:ascii="Arial" w:hAnsi="Arial" w:cs="Arial"/>
          <w:sz w:val="24"/>
          <w:szCs w:val="24"/>
          <w:lang w:val="es-CR"/>
        </w:rPr>
      </w:pPr>
    </w:p>
    <w:p w:rsidR="000C1900" w:rsidRPr="00915592" w:rsidRDefault="000C1900">
      <w:pPr>
        <w:rPr>
          <w:rFonts w:ascii="Arial" w:hAnsi="Arial" w:cs="Arial"/>
          <w:b/>
          <w:sz w:val="24"/>
          <w:szCs w:val="24"/>
          <w:lang w:val="es-CR"/>
        </w:rPr>
      </w:pPr>
    </w:p>
    <w:p w:rsidR="00915592" w:rsidRPr="00915592" w:rsidRDefault="0027009D">
      <w:pPr>
        <w:rPr>
          <w:rFonts w:ascii="Arial" w:hAnsi="Arial" w:cs="Arial"/>
          <w:b/>
          <w:sz w:val="24"/>
          <w:szCs w:val="24"/>
          <w:lang w:val="es-CR"/>
        </w:rPr>
      </w:pPr>
      <w:r w:rsidRPr="00915592">
        <w:rPr>
          <w:rFonts w:ascii="Arial" w:hAnsi="Arial" w:cs="Arial"/>
          <w:b/>
          <w:sz w:val="24"/>
          <w:szCs w:val="24"/>
          <w:lang w:val="es-CR"/>
        </w:rPr>
        <w:t xml:space="preserve">Muestra: </w:t>
      </w: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1398C">
        <w:rPr>
          <w:rFonts w:ascii="Arial" w:hAnsi="Arial" w:cs="Arial"/>
          <w:sz w:val="24"/>
          <w:szCs w:val="24"/>
          <w:lang w:val="es-ES"/>
        </w:rPr>
        <w:t xml:space="preserve">La muestra se seleccionó en forma aleatoria, utilizando el marco </w:t>
      </w:r>
      <w:proofErr w:type="spellStart"/>
      <w:r w:rsidRPr="00D1398C">
        <w:rPr>
          <w:rFonts w:ascii="Arial" w:hAnsi="Arial" w:cs="Arial"/>
          <w:sz w:val="24"/>
          <w:szCs w:val="24"/>
          <w:lang w:val="es-ES"/>
        </w:rPr>
        <w:t>muestral</w:t>
      </w:r>
      <w:proofErr w:type="spellEnd"/>
      <w:r w:rsidRPr="00D1398C">
        <w:rPr>
          <w:rFonts w:ascii="Arial" w:hAnsi="Arial" w:cs="Arial"/>
          <w:sz w:val="24"/>
          <w:szCs w:val="24"/>
          <w:lang w:val="es-ES"/>
        </w:rPr>
        <w:t xml:space="preserve"> proporcionado por el Estado de la Educación, en donde se incluían instituciones educativas de cinco categorías distintas (Anexo privado urbano, Anexo privado rural, Anexo público urbano, Independiente privado urbano e Independiente público urbano). Se seleccionó una muestra de 175 instituciones ubicadas en el GAM según la distribución que nos facilitó el Estado de la Educación y que se detalla a continuación.</w:t>
      </w:r>
    </w:p>
    <w:p w:rsidR="00915592" w:rsidRDefault="00915592" w:rsidP="0027009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R"/>
        </w:rPr>
      </w:pPr>
    </w:p>
    <w:p w:rsidR="00D1398C" w:rsidRPr="00D1398C" w:rsidRDefault="00D1398C" w:rsidP="0027009D">
      <w:pPr>
        <w:tabs>
          <w:tab w:val="left" w:pos="0"/>
        </w:tabs>
        <w:jc w:val="both"/>
        <w:rPr>
          <w:rFonts w:ascii="Arial" w:hAnsi="Arial" w:cs="Arial"/>
          <w:b/>
          <w:szCs w:val="24"/>
          <w:lang w:val="es-CR"/>
        </w:rPr>
      </w:pPr>
      <w:r w:rsidRPr="00D1398C">
        <w:rPr>
          <w:rFonts w:ascii="Arial" w:hAnsi="Arial" w:cs="Arial"/>
          <w:b/>
          <w:szCs w:val="24"/>
          <w:lang w:val="es-CR"/>
        </w:rPr>
        <w:t>Cuadro 1</w:t>
      </w:r>
    </w:p>
    <w:p w:rsidR="00D1398C" w:rsidRPr="00D1398C" w:rsidRDefault="00D1398C" w:rsidP="0027009D">
      <w:pPr>
        <w:tabs>
          <w:tab w:val="left" w:pos="0"/>
        </w:tabs>
        <w:jc w:val="both"/>
        <w:rPr>
          <w:rFonts w:ascii="Arial" w:hAnsi="Arial" w:cs="Arial"/>
          <w:szCs w:val="24"/>
          <w:lang w:val="es-CR"/>
        </w:rPr>
      </w:pPr>
      <w:r w:rsidRPr="00D1398C">
        <w:rPr>
          <w:rFonts w:ascii="Arial" w:hAnsi="Arial" w:cs="Arial"/>
          <w:szCs w:val="24"/>
          <w:lang w:val="es-CR"/>
        </w:rPr>
        <w:t>Descripción de la muestra seleccionada</w:t>
      </w: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1000"/>
        <w:gridCol w:w="1640"/>
      </w:tblGrid>
      <w:tr w:rsidR="00D1398C" w:rsidRPr="00D1398C" w:rsidTr="00D1398C">
        <w:trPr>
          <w:trHeight w:val="51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Categorías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Público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Privado/  Subvencionado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Independientes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39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Urbano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39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Rural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0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Anexos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16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Urbano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16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Rural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0</w:t>
            </w:r>
          </w:p>
        </w:tc>
      </w:tr>
      <w:tr w:rsidR="00D1398C" w:rsidRPr="00D1398C" w:rsidTr="00D1398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98C" w:rsidRPr="00D1398C" w:rsidRDefault="00D1398C" w:rsidP="00D1398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D13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55</w:t>
            </w:r>
          </w:p>
        </w:tc>
      </w:tr>
    </w:tbl>
    <w:p w:rsidR="00D1398C" w:rsidRDefault="00D1398C" w:rsidP="0027009D">
      <w:pPr>
        <w:tabs>
          <w:tab w:val="left" w:pos="0"/>
        </w:tabs>
        <w:jc w:val="both"/>
        <w:rPr>
          <w:rFonts w:ascii="Arial" w:hAnsi="Arial" w:cs="Arial"/>
          <w:sz w:val="20"/>
          <w:szCs w:val="24"/>
          <w:lang w:val="es-CR"/>
        </w:rPr>
      </w:pPr>
      <w:r w:rsidRPr="00D1398C">
        <w:rPr>
          <w:rFonts w:ascii="Arial" w:hAnsi="Arial" w:cs="Arial"/>
          <w:sz w:val="20"/>
          <w:szCs w:val="24"/>
          <w:lang w:val="es-CR"/>
        </w:rPr>
        <w:t xml:space="preserve">Fuente: </w:t>
      </w:r>
      <w:proofErr w:type="spellStart"/>
      <w:r w:rsidRPr="00D1398C">
        <w:rPr>
          <w:rFonts w:ascii="Arial" w:hAnsi="Arial" w:cs="Arial"/>
          <w:sz w:val="20"/>
          <w:szCs w:val="24"/>
          <w:lang w:val="es-CR"/>
        </w:rPr>
        <w:t>Carmiol</w:t>
      </w:r>
      <w:proofErr w:type="spellEnd"/>
      <w:r w:rsidRPr="00D1398C">
        <w:rPr>
          <w:rFonts w:ascii="Arial" w:hAnsi="Arial" w:cs="Arial"/>
          <w:sz w:val="20"/>
          <w:szCs w:val="24"/>
          <w:lang w:val="es-CR"/>
        </w:rPr>
        <w:t xml:space="preserve"> y Villalobos, 2016.</w:t>
      </w:r>
    </w:p>
    <w:p w:rsidR="00D1398C" w:rsidRDefault="00D1398C" w:rsidP="0027009D">
      <w:pPr>
        <w:tabs>
          <w:tab w:val="left" w:pos="0"/>
        </w:tabs>
        <w:jc w:val="both"/>
        <w:rPr>
          <w:rFonts w:ascii="Arial" w:hAnsi="Arial" w:cs="Arial"/>
          <w:sz w:val="20"/>
          <w:szCs w:val="24"/>
          <w:lang w:val="es-CR"/>
        </w:rPr>
      </w:pP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1398C">
        <w:rPr>
          <w:rFonts w:ascii="Arial" w:hAnsi="Arial" w:cs="Arial"/>
          <w:sz w:val="24"/>
          <w:szCs w:val="24"/>
          <w:lang w:val="es-ES"/>
        </w:rPr>
        <w:t>La selección se realizó en forma aleatoria por medio de la generación de números aleatorios con el programa Excel.  Se seleccionó una muestra aleatoria de centros educativos en cada estrato.</w:t>
      </w:r>
    </w:p>
    <w:p w:rsidR="00D1398C" w:rsidRPr="00D1398C" w:rsidRDefault="00D1398C" w:rsidP="0027009D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R"/>
        </w:rPr>
      </w:pPr>
    </w:p>
    <w:p w:rsidR="00BE38B4" w:rsidRPr="000C1900" w:rsidRDefault="00915592" w:rsidP="000C1900">
      <w:pPr>
        <w:rPr>
          <w:rFonts w:ascii="Arial" w:hAnsi="Arial" w:cs="Arial"/>
          <w:b/>
          <w:sz w:val="24"/>
          <w:szCs w:val="24"/>
          <w:lang w:val="es-CR"/>
        </w:rPr>
      </w:pPr>
      <w:r w:rsidRPr="00915592">
        <w:rPr>
          <w:rFonts w:ascii="Arial" w:hAnsi="Arial" w:cs="Arial"/>
          <w:b/>
          <w:sz w:val="24"/>
          <w:szCs w:val="24"/>
          <w:lang w:val="es-CR"/>
        </w:rPr>
        <w:t xml:space="preserve">Instrumentos: </w:t>
      </w:r>
    </w:p>
    <w:p w:rsidR="00CA6794" w:rsidRDefault="00CA6794" w:rsidP="00CA679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CA6794" w:rsidRDefault="00CA6794" w:rsidP="00CA679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Aplicación del instrumento ECERS.</w:t>
      </w:r>
    </w:p>
    <w:p w:rsidR="00BE38B4" w:rsidRPr="00CA6794" w:rsidRDefault="00BE38B4" w:rsidP="00CA679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R"/>
        </w:rPr>
      </w:pPr>
    </w:p>
    <w:p w:rsidR="00915592" w:rsidRPr="00BE38B4" w:rsidRDefault="00915592" w:rsidP="00915592">
      <w:pPr>
        <w:jc w:val="both"/>
        <w:rPr>
          <w:rFonts w:ascii="Arial" w:hAnsi="Arial" w:cs="Arial"/>
          <w:sz w:val="24"/>
          <w:szCs w:val="24"/>
          <w:lang w:val="es-CR"/>
        </w:rPr>
      </w:pPr>
    </w:p>
    <w:p w:rsidR="000C1900" w:rsidRDefault="00915592" w:rsidP="0091559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15592">
        <w:rPr>
          <w:rFonts w:ascii="Arial" w:hAnsi="Arial" w:cs="Arial"/>
          <w:b/>
          <w:sz w:val="24"/>
          <w:szCs w:val="24"/>
          <w:lang w:val="es-ES"/>
        </w:rPr>
        <w:t>Procedimientos:</w:t>
      </w: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1398C">
        <w:rPr>
          <w:rFonts w:ascii="Arial" w:hAnsi="Arial" w:cs="Arial"/>
          <w:sz w:val="24"/>
          <w:szCs w:val="24"/>
          <w:lang w:val="es-ES"/>
        </w:rPr>
        <w:t xml:space="preserve">Para asegurar que las observaciones que se harían en el campo tendrían la calidad requerida para el estudio se realizó la capacitación a las personas que realizarían las entrevistas, quienes en su mayoría fueron psicólogas y en menor grado educadoras de preescolar. </w:t>
      </w: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1398C">
        <w:rPr>
          <w:rFonts w:ascii="Arial" w:hAnsi="Arial" w:cs="Arial"/>
          <w:sz w:val="24"/>
          <w:szCs w:val="24"/>
          <w:lang w:val="es-ES"/>
        </w:rPr>
        <w:lastRenderedPageBreak/>
        <w:t>En la capacitación se revisó el cuestionario que se aplicaría a las maestras, el manual de ECERS y se hizo una revisión de todos los ítems de la escala ECERS. Se observaron vídeos y aprendieron a calificar</w:t>
      </w:r>
      <w:r w:rsidRPr="00D1398C">
        <w:rPr>
          <w:rFonts w:ascii="Arial" w:hAnsi="Arial" w:cs="Arial"/>
          <w:sz w:val="24"/>
          <w:szCs w:val="24"/>
          <w:lang w:val="es-ES"/>
        </w:rPr>
        <w:t xml:space="preserve">. </w:t>
      </w:r>
      <w:r w:rsidRPr="00D1398C">
        <w:rPr>
          <w:rFonts w:ascii="Arial" w:hAnsi="Arial" w:cs="Arial"/>
          <w:sz w:val="24"/>
          <w:szCs w:val="24"/>
          <w:lang w:val="es-ES"/>
        </w:rPr>
        <w:t>En esta capacitación participaron 12 personas incluyendo la psicóloga que las capacitó y que posteriormente participó en la etapa de recolección de la información.</w:t>
      </w: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1398C">
        <w:rPr>
          <w:rFonts w:ascii="Arial" w:hAnsi="Arial" w:cs="Arial"/>
          <w:sz w:val="24"/>
          <w:szCs w:val="24"/>
          <w:lang w:val="es-ES"/>
        </w:rPr>
        <w:t xml:space="preserve">Una vez realizada la capacitación se visitaron dos centros educativos para hacer la prueba piloto del instrumento y para que todas las participantes hicieran una observación. Posterior a las visitas se calificaron los cuestionarios y se realizaron las pruebas de correlación </w:t>
      </w:r>
      <w:proofErr w:type="spellStart"/>
      <w:r w:rsidRPr="00D1398C">
        <w:rPr>
          <w:rFonts w:ascii="Arial" w:hAnsi="Arial" w:cs="Arial"/>
          <w:sz w:val="24"/>
          <w:szCs w:val="24"/>
          <w:lang w:val="es-ES"/>
        </w:rPr>
        <w:t>intraclase</w:t>
      </w:r>
      <w:proofErr w:type="spellEnd"/>
      <w:r w:rsidRPr="00D1398C">
        <w:rPr>
          <w:rFonts w:ascii="Arial" w:hAnsi="Arial" w:cs="Arial"/>
          <w:sz w:val="24"/>
          <w:szCs w:val="24"/>
          <w:lang w:val="es-ES"/>
        </w:rPr>
        <w:t>, cuyo resultado no fue satisfactorio, por lo que se decidió reunir de nuevo a las participantes y realizar una serie de aclaraciones especialmente en los ítems que más hubo diferencias entre calificaciones. Se l</w:t>
      </w:r>
      <w:bookmarkStart w:id="0" w:name="_GoBack"/>
      <w:bookmarkEnd w:id="0"/>
      <w:r w:rsidRPr="00D1398C">
        <w:rPr>
          <w:rFonts w:ascii="Arial" w:hAnsi="Arial" w:cs="Arial"/>
          <w:sz w:val="24"/>
          <w:szCs w:val="24"/>
          <w:lang w:val="es-ES"/>
        </w:rPr>
        <w:t xml:space="preserve">es volvió a </w:t>
      </w:r>
      <w:r w:rsidR="00CA6794" w:rsidRPr="00D1398C">
        <w:rPr>
          <w:rFonts w:ascii="Arial" w:hAnsi="Arial" w:cs="Arial"/>
          <w:sz w:val="24"/>
          <w:szCs w:val="24"/>
          <w:lang w:val="es-ES"/>
        </w:rPr>
        <w:t>evaluar,</w:t>
      </w:r>
      <w:r w:rsidRPr="00D1398C">
        <w:rPr>
          <w:rFonts w:ascii="Arial" w:hAnsi="Arial" w:cs="Arial"/>
          <w:sz w:val="24"/>
          <w:szCs w:val="24"/>
          <w:lang w:val="es-ES"/>
        </w:rPr>
        <w:t xml:space="preserve"> pero esta vez usando videos que se les enviaron por correo electrónico, ellas enviaron sus calificaciones y esta vez el coeficiente de correlación </w:t>
      </w:r>
      <w:proofErr w:type="spellStart"/>
      <w:r w:rsidRPr="00D1398C">
        <w:rPr>
          <w:rFonts w:ascii="Arial" w:hAnsi="Arial" w:cs="Arial"/>
          <w:sz w:val="24"/>
          <w:szCs w:val="24"/>
          <w:lang w:val="es-ES"/>
        </w:rPr>
        <w:t>intraclase</w:t>
      </w:r>
      <w:proofErr w:type="spellEnd"/>
      <w:r w:rsidRPr="00D1398C">
        <w:rPr>
          <w:rFonts w:ascii="Arial" w:hAnsi="Arial" w:cs="Arial"/>
          <w:sz w:val="24"/>
          <w:szCs w:val="24"/>
          <w:lang w:val="es-ES"/>
        </w:rPr>
        <w:t xml:space="preserve"> estuvo por encima del 80% excepto en el caso de dos muchachas que aún no alcanzaron esa puntuación.  Para resolver este problema lo que se hizo fue repasar los ítems en que tuvieron diferencias y que la psicóloga capacitadora las acompañara en su primera salida a campo, cada una por separado para que volvieran a evaluar y poder volver a calcular el coeficiente de correlación </w:t>
      </w:r>
      <w:proofErr w:type="spellStart"/>
      <w:r w:rsidRPr="00D1398C">
        <w:rPr>
          <w:rFonts w:ascii="Arial" w:hAnsi="Arial" w:cs="Arial"/>
          <w:sz w:val="24"/>
          <w:szCs w:val="24"/>
          <w:lang w:val="es-ES"/>
        </w:rPr>
        <w:t>intraclase</w:t>
      </w:r>
      <w:proofErr w:type="spellEnd"/>
      <w:r w:rsidRPr="00D1398C">
        <w:rPr>
          <w:rFonts w:ascii="Arial" w:hAnsi="Arial" w:cs="Arial"/>
          <w:sz w:val="24"/>
          <w:szCs w:val="24"/>
          <w:lang w:val="es-ES"/>
        </w:rPr>
        <w:t xml:space="preserve"> esta vez comparándolo con el de la capacitadora.  Se realizaron las pruebas a las evaluaciones de estas dos personas y los resultados del coeficiente esta vez estuvieron por encima del 80%, por lo que todo el grupo se consideró apto para realizar las observaciones.</w:t>
      </w:r>
    </w:p>
    <w:p w:rsidR="00D1398C" w:rsidRPr="00D1398C" w:rsidRDefault="00D1398C" w:rsidP="00D1398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CA6794" w:rsidRDefault="00CA6794" w:rsidP="00CA679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>Una vez hecha la selección de la muestra, se procedió a realizar los contactos con los centro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CA6794">
        <w:rPr>
          <w:rFonts w:ascii="Arial" w:hAnsi="Arial" w:cs="Arial"/>
          <w:sz w:val="24"/>
          <w:szCs w:val="24"/>
          <w:lang w:val="es-ES"/>
        </w:rPr>
        <w:t xml:space="preserve"> educativos, se enviaron correos electrónicos dirigidos a los directores de los centros, solicitándoles la autorización para visitarles y explicándoles el objetivo del estudio que se estaba realizando; posterior al envío del correo se llamó a esas personas para solicitarles la cita y proceder a realizar la visita</w:t>
      </w:r>
      <w:r w:rsidRPr="00CA6794">
        <w:rPr>
          <w:rFonts w:ascii="Arial" w:hAnsi="Arial" w:cs="Arial"/>
          <w:sz w:val="24"/>
          <w:szCs w:val="24"/>
          <w:lang w:val="es-ES"/>
        </w:rPr>
        <w:t>.</w:t>
      </w:r>
    </w:p>
    <w:p w:rsidR="00CA6794" w:rsidRPr="00CA6794" w:rsidRDefault="00CA6794" w:rsidP="00CA679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0C1900" w:rsidRPr="000C1900" w:rsidRDefault="0027009D" w:rsidP="000C1900">
      <w:pPr>
        <w:pStyle w:val="Default"/>
      </w:pPr>
      <w:r>
        <w:rPr>
          <w:rFonts w:ascii="Arial" w:hAnsi="Arial" w:cs="Arial"/>
          <w:b/>
          <w:lang w:val="es-ES_tradnl"/>
        </w:rPr>
        <w:t xml:space="preserve">Trabajo de campo: </w:t>
      </w:r>
    </w:p>
    <w:p w:rsidR="00CA6794" w:rsidRPr="00CA6794" w:rsidRDefault="00CA6794" w:rsidP="00CA6794">
      <w:pPr>
        <w:tabs>
          <w:tab w:val="left" w:pos="0"/>
        </w:tabs>
        <w:jc w:val="both"/>
        <w:rPr>
          <w:rFonts w:ascii="Arial" w:hAnsi="Arial" w:cs="Arial"/>
          <w:lang w:val="es-CR" w:eastAsia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 xml:space="preserve">Las visitas se iniciaron el día 20 de julio de 2016 y terminaron el 5 de setiembre. </w:t>
      </w:r>
    </w:p>
    <w:p w:rsidR="000C1900" w:rsidRPr="00CA6794" w:rsidRDefault="000C1900" w:rsidP="000C190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R"/>
        </w:rPr>
      </w:pPr>
    </w:p>
    <w:p w:rsidR="000C1900" w:rsidRDefault="000C1900">
      <w:pPr>
        <w:widowControl/>
        <w:spacing w:after="160" w:line="259" w:lineRule="auto"/>
        <w:rPr>
          <w:rFonts w:ascii="Arial" w:hAnsi="Arial" w:cs="Arial"/>
          <w:b/>
          <w:sz w:val="24"/>
          <w:lang w:val="es-ES_tradnl"/>
        </w:rPr>
      </w:pPr>
    </w:p>
    <w:p w:rsidR="0027009D" w:rsidRDefault="0027009D">
      <w:pPr>
        <w:widowControl/>
        <w:spacing w:after="160" w:line="259" w:lineRule="auto"/>
        <w:rPr>
          <w:rFonts w:ascii="Arial" w:hAnsi="Arial" w:cs="Arial"/>
          <w:b/>
          <w:sz w:val="24"/>
          <w:szCs w:val="24"/>
          <w:lang w:val="es-ES_tradnl"/>
        </w:rPr>
      </w:pPr>
      <w:r w:rsidRPr="00915592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="000C1900">
        <w:rPr>
          <w:rFonts w:ascii="Arial" w:hAnsi="Arial" w:cs="Arial"/>
          <w:b/>
          <w:sz w:val="24"/>
          <w:szCs w:val="24"/>
          <w:lang w:val="es-ES_tradnl"/>
        </w:rPr>
        <w:t>s</w:t>
      </w:r>
      <w:r w:rsidRPr="00915592"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CA6794" w:rsidRPr="00CA6794" w:rsidRDefault="00CA6794" w:rsidP="00CA6794">
      <w:pPr>
        <w:pStyle w:val="Prrafodelist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>Determinar la calidad de la infraestructura y los materiales en las aulas de preescolar costarricense mediante la aplicación del instrumento ECERS.</w:t>
      </w:r>
    </w:p>
    <w:p w:rsidR="00CA6794" w:rsidRPr="00CA6794" w:rsidRDefault="00CA6794" w:rsidP="00CA6794">
      <w:pPr>
        <w:pStyle w:val="Prrafodelist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 xml:space="preserve">Diagnosticar el ambiente pedagógico en que se imparten las lecciones de </w:t>
      </w:r>
      <w:proofErr w:type="gramStart"/>
      <w:r w:rsidRPr="00CA6794">
        <w:rPr>
          <w:rFonts w:ascii="Arial" w:hAnsi="Arial" w:cs="Arial"/>
          <w:sz w:val="24"/>
          <w:szCs w:val="24"/>
          <w:lang w:val="es-ES"/>
        </w:rPr>
        <w:t>preescolar</w:t>
      </w:r>
      <w:proofErr w:type="gramEnd"/>
      <w:r w:rsidRPr="00CA6794">
        <w:rPr>
          <w:rFonts w:ascii="Arial" w:hAnsi="Arial" w:cs="Arial"/>
          <w:sz w:val="24"/>
          <w:szCs w:val="24"/>
          <w:lang w:val="es-ES"/>
        </w:rPr>
        <w:t xml:space="preserve"> así como la calidad de las interacciones que se establecen dentro del aula, utilizando el instrumento ECERS.</w:t>
      </w:r>
    </w:p>
    <w:p w:rsidR="00CA6794" w:rsidRPr="00CA6794" w:rsidRDefault="00CA6794" w:rsidP="00CA6794">
      <w:pPr>
        <w:pStyle w:val="Prrafodelist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>Caracterizar las docentes de preescolar incluidas en la muestra en cuanto a características sociodemográficas, formación profesional, procesos de desarrollo profesional y actitudes hacia la promoción de la lectoescritura emergente.</w:t>
      </w:r>
    </w:p>
    <w:p w:rsidR="00CA6794" w:rsidRPr="00CA6794" w:rsidRDefault="00CA6794" w:rsidP="00CA6794">
      <w:pPr>
        <w:pStyle w:val="Prrafodelista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CA6794">
        <w:rPr>
          <w:rFonts w:ascii="Arial" w:hAnsi="Arial" w:cs="Arial"/>
          <w:sz w:val="24"/>
          <w:szCs w:val="24"/>
          <w:lang w:val="es-ES"/>
        </w:rPr>
        <w:t xml:space="preserve">Comparar los ambientes de aprendizaje en las aulas de centros de </w:t>
      </w:r>
      <w:r w:rsidRPr="00CA6794">
        <w:rPr>
          <w:rFonts w:ascii="Arial" w:hAnsi="Arial" w:cs="Arial"/>
          <w:sz w:val="24"/>
          <w:szCs w:val="24"/>
          <w:lang w:val="es-ES"/>
        </w:rPr>
        <w:lastRenderedPageBreak/>
        <w:t>preescolar públicos, privados, independientes y anexos.</w:t>
      </w:r>
    </w:p>
    <w:p w:rsidR="000C1900" w:rsidRPr="00915592" w:rsidRDefault="000C1900" w:rsidP="00915592">
      <w:pPr>
        <w:jc w:val="both"/>
        <w:rPr>
          <w:rFonts w:ascii="Arial" w:hAnsi="Arial" w:cs="Arial"/>
          <w:sz w:val="24"/>
          <w:lang w:val="es-ES"/>
        </w:rPr>
      </w:pPr>
    </w:p>
    <w:p w:rsidR="0027009D" w:rsidRPr="000C1900" w:rsidRDefault="00915592" w:rsidP="000C1900">
      <w:pPr>
        <w:jc w:val="both"/>
        <w:rPr>
          <w:rFonts w:ascii="Arial" w:hAnsi="Arial" w:cs="Arial"/>
          <w:b/>
          <w:sz w:val="24"/>
          <w:lang w:val="es-ES"/>
        </w:rPr>
      </w:pPr>
      <w:r w:rsidRPr="00915592">
        <w:rPr>
          <w:rFonts w:ascii="Arial" w:hAnsi="Arial" w:cs="Arial"/>
          <w:b/>
          <w:sz w:val="24"/>
          <w:lang w:val="es-ES"/>
        </w:rPr>
        <w:t>Documentos:</w:t>
      </w:r>
    </w:p>
    <w:p w:rsidR="0047172D" w:rsidRPr="00D733DD" w:rsidRDefault="00CA6794" w:rsidP="00915592">
      <w:pPr>
        <w:pStyle w:val="Prrafodelista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Base de datos observación de aula en preescolar.</w:t>
      </w:r>
    </w:p>
    <w:sectPr w:rsidR="0047172D" w:rsidRPr="00D73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HelveticaNeueLT Std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5D6"/>
    <w:multiLevelType w:val="hybridMultilevel"/>
    <w:tmpl w:val="3FEE1F4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A60"/>
    <w:multiLevelType w:val="hybridMultilevel"/>
    <w:tmpl w:val="191CB842"/>
    <w:lvl w:ilvl="0" w:tplc="32EA8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F26"/>
    <w:multiLevelType w:val="hybridMultilevel"/>
    <w:tmpl w:val="79566410"/>
    <w:lvl w:ilvl="0" w:tplc="23F6F9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0145"/>
    <w:multiLevelType w:val="hybridMultilevel"/>
    <w:tmpl w:val="1304BF50"/>
    <w:lvl w:ilvl="0" w:tplc="516ACB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226E"/>
    <w:multiLevelType w:val="hybridMultilevel"/>
    <w:tmpl w:val="2B1E9E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D"/>
    <w:rsid w:val="000C1900"/>
    <w:rsid w:val="001242FD"/>
    <w:rsid w:val="00245E75"/>
    <w:rsid w:val="00257520"/>
    <w:rsid w:val="0027009D"/>
    <w:rsid w:val="00470456"/>
    <w:rsid w:val="0047172D"/>
    <w:rsid w:val="006A5C15"/>
    <w:rsid w:val="007400C4"/>
    <w:rsid w:val="00915592"/>
    <w:rsid w:val="00BE38B4"/>
    <w:rsid w:val="00CA6794"/>
    <w:rsid w:val="00CC0429"/>
    <w:rsid w:val="00D1398C"/>
    <w:rsid w:val="00D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097F1"/>
  <w15:chartTrackingRefBased/>
  <w15:docId w15:val="{66B7334D-B871-449E-BC5A-2603D40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009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915592"/>
    <w:pPr>
      <w:ind w:left="720"/>
      <w:contextualSpacing/>
    </w:pPr>
  </w:style>
  <w:style w:type="paragraph" w:customStyle="1" w:styleId="Default">
    <w:name w:val="Default"/>
    <w:rsid w:val="00BE38B4"/>
    <w:pPr>
      <w:autoSpaceDE w:val="0"/>
      <w:autoSpaceDN w:val="0"/>
      <w:adjustRightInd w:val="0"/>
      <w:spacing w:after="0" w:line="240" w:lineRule="auto"/>
    </w:pPr>
    <w:rPr>
      <w:rFonts w:ascii="HelveticaNeueLT Std Lt Cn" w:hAnsi="HelveticaNeueLT Std Lt Cn" w:cs="HelveticaNeueLT Std Lt Cn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1"/>
    <w:rsid w:val="00CA679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Estado</dc:creator>
  <cp:keywords/>
  <dc:description/>
  <cp:lastModifiedBy>Estado</cp:lastModifiedBy>
  <cp:revision>4</cp:revision>
  <dcterms:created xsi:type="dcterms:W3CDTF">2017-10-02T16:01:00Z</dcterms:created>
  <dcterms:modified xsi:type="dcterms:W3CDTF">2017-10-02T16:23:00Z</dcterms:modified>
</cp:coreProperties>
</file>