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92" w:rsidRPr="00624B07" w:rsidRDefault="006053FB" w:rsidP="00915592">
      <w:pPr>
        <w:jc w:val="center"/>
        <w:rPr>
          <w:rFonts w:ascii="Arial" w:hAnsi="Arial" w:cs="Arial"/>
          <w:b/>
          <w:bCs/>
          <w:sz w:val="28"/>
          <w:lang w:val="es-CR"/>
        </w:rPr>
      </w:pPr>
      <w:r>
        <w:rPr>
          <w:rFonts w:ascii="Arial" w:hAnsi="Arial" w:cs="Arial"/>
          <w:b/>
          <w:bCs/>
          <w:sz w:val="36"/>
          <w:lang w:val="es-CR"/>
        </w:rPr>
        <w:t xml:space="preserve">Calidad y acreditación de la educación superior desde la perspectiva de los </w:t>
      </w:r>
      <w:r w:rsidR="0099561D">
        <w:rPr>
          <w:rFonts w:ascii="Arial" w:hAnsi="Arial" w:cs="Arial"/>
          <w:b/>
          <w:bCs/>
          <w:sz w:val="36"/>
          <w:lang w:val="es-CR"/>
        </w:rPr>
        <w:t>empleadores</w:t>
      </w:r>
    </w:p>
    <w:p w:rsidR="0027009D" w:rsidRPr="00915592" w:rsidRDefault="0027009D">
      <w:pPr>
        <w:rPr>
          <w:rFonts w:ascii="Arial" w:hAnsi="Arial" w:cs="Arial"/>
          <w:b/>
          <w:sz w:val="24"/>
          <w:lang w:val="es-CR"/>
        </w:rPr>
      </w:pPr>
    </w:p>
    <w:p w:rsidR="0027009D" w:rsidRPr="0027009D" w:rsidRDefault="0027009D">
      <w:pPr>
        <w:rPr>
          <w:rFonts w:ascii="Arial" w:hAnsi="Arial" w:cs="Arial"/>
          <w:b/>
          <w:sz w:val="24"/>
          <w:lang w:val="es-CR"/>
        </w:rPr>
      </w:pPr>
    </w:p>
    <w:p w:rsidR="001242FD" w:rsidRDefault="0027009D">
      <w:pPr>
        <w:rPr>
          <w:rFonts w:ascii="Arial" w:hAnsi="Arial" w:cs="Arial"/>
          <w:b/>
          <w:sz w:val="24"/>
          <w:szCs w:val="24"/>
          <w:lang w:val="es-CR"/>
        </w:rPr>
      </w:pPr>
      <w:r w:rsidRPr="00915592">
        <w:rPr>
          <w:rFonts w:ascii="Arial" w:hAnsi="Arial" w:cs="Arial"/>
          <w:b/>
          <w:sz w:val="24"/>
          <w:szCs w:val="24"/>
          <w:lang w:val="es-CR"/>
        </w:rPr>
        <w:t>Autores:</w:t>
      </w:r>
    </w:p>
    <w:p w:rsidR="00223D97" w:rsidRPr="00223D97" w:rsidRDefault="00223D97">
      <w:pPr>
        <w:rPr>
          <w:rFonts w:ascii="Arial" w:hAnsi="Arial" w:cs="Arial"/>
          <w:sz w:val="24"/>
          <w:szCs w:val="24"/>
          <w:lang w:val="es-CR"/>
        </w:rPr>
      </w:pPr>
      <w:r w:rsidRPr="00223D97">
        <w:rPr>
          <w:rFonts w:ascii="Arial" w:hAnsi="Arial" w:cs="Arial"/>
          <w:sz w:val="24"/>
          <w:szCs w:val="24"/>
          <w:lang w:val="es-CR"/>
        </w:rPr>
        <w:t>Ana Raquel Meléndez</w:t>
      </w:r>
    </w:p>
    <w:p w:rsidR="0027009D" w:rsidRPr="00915592" w:rsidRDefault="0027009D">
      <w:pPr>
        <w:rPr>
          <w:rFonts w:ascii="Arial" w:hAnsi="Arial" w:cs="Arial"/>
          <w:sz w:val="24"/>
          <w:szCs w:val="24"/>
          <w:lang w:val="es-CR"/>
        </w:rPr>
      </w:pPr>
    </w:p>
    <w:p w:rsidR="0027009D" w:rsidRDefault="0027009D">
      <w:pPr>
        <w:rPr>
          <w:rFonts w:ascii="Arial" w:hAnsi="Arial" w:cs="Arial"/>
          <w:b/>
          <w:sz w:val="24"/>
          <w:szCs w:val="24"/>
          <w:lang w:val="es-CR"/>
        </w:rPr>
      </w:pPr>
      <w:r w:rsidRPr="00915592">
        <w:rPr>
          <w:rFonts w:ascii="Arial" w:hAnsi="Arial" w:cs="Arial"/>
          <w:b/>
          <w:sz w:val="24"/>
          <w:szCs w:val="24"/>
          <w:lang w:val="es-CR"/>
        </w:rPr>
        <w:t>Revisión técnica:</w:t>
      </w:r>
    </w:p>
    <w:p w:rsidR="00223D97" w:rsidRDefault="00223D97" w:rsidP="00223D97">
      <w:pPr>
        <w:rPr>
          <w:rFonts w:ascii="Arial" w:hAnsi="Arial" w:cs="Arial"/>
          <w:sz w:val="24"/>
          <w:szCs w:val="24"/>
          <w:lang w:val="es-CR"/>
        </w:rPr>
      </w:pPr>
      <w:r>
        <w:rPr>
          <w:rFonts w:ascii="Arial" w:hAnsi="Arial" w:cs="Arial"/>
          <w:sz w:val="24"/>
          <w:szCs w:val="24"/>
          <w:lang w:val="es-CR"/>
        </w:rPr>
        <w:t>Valeria Lentini Gili</w:t>
      </w:r>
    </w:p>
    <w:p w:rsidR="00223D97" w:rsidRPr="00915592" w:rsidRDefault="00223D97" w:rsidP="00223D97">
      <w:pPr>
        <w:rPr>
          <w:rFonts w:ascii="Arial" w:hAnsi="Arial" w:cs="Arial"/>
          <w:sz w:val="24"/>
          <w:szCs w:val="24"/>
          <w:lang w:val="es-CR"/>
        </w:rPr>
      </w:pPr>
      <w:r>
        <w:rPr>
          <w:rFonts w:ascii="Arial" w:hAnsi="Arial" w:cs="Arial"/>
          <w:sz w:val="24"/>
          <w:szCs w:val="24"/>
          <w:lang w:val="es-CR"/>
        </w:rPr>
        <w:t>Marcela Román Forastelli</w:t>
      </w:r>
    </w:p>
    <w:p w:rsidR="0027009D" w:rsidRPr="00915592" w:rsidRDefault="0027009D">
      <w:pPr>
        <w:rPr>
          <w:rFonts w:ascii="Arial" w:hAnsi="Arial" w:cs="Arial"/>
          <w:b/>
          <w:sz w:val="24"/>
          <w:szCs w:val="24"/>
          <w:lang w:val="es-CR"/>
        </w:rPr>
      </w:pPr>
    </w:p>
    <w:p w:rsidR="0027009D" w:rsidRDefault="0027009D">
      <w:pPr>
        <w:rPr>
          <w:rFonts w:ascii="Arial" w:hAnsi="Arial" w:cs="Arial"/>
          <w:b/>
          <w:sz w:val="24"/>
          <w:szCs w:val="24"/>
          <w:lang w:val="es-CR"/>
        </w:rPr>
      </w:pPr>
      <w:r w:rsidRPr="00915592">
        <w:rPr>
          <w:rFonts w:ascii="Arial" w:hAnsi="Arial" w:cs="Arial"/>
          <w:b/>
          <w:sz w:val="24"/>
          <w:szCs w:val="24"/>
          <w:lang w:val="es-CR"/>
        </w:rPr>
        <w:t xml:space="preserve">Muestra: </w:t>
      </w:r>
    </w:p>
    <w:p w:rsidR="0013009C" w:rsidRPr="0013009C" w:rsidRDefault="0013009C" w:rsidP="0013009C">
      <w:pPr>
        <w:ind w:firstLine="708"/>
        <w:jc w:val="both"/>
        <w:rPr>
          <w:rFonts w:ascii="Arial" w:hAnsi="Arial" w:cs="Arial"/>
          <w:sz w:val="24"/>
          <w:lang w:val="es-ES"/>
        </w:rPr>
      </w:pPr>
      <w:bookmarkStart w:id="0" w:name="_Toc416878119"/>
      <w:bookmarkStart w:id="1" w:name="_Toc416878325"/>
      <w:r w:rsidRPr="0013009C">
        <w:rPr>
          <w:rFonts w:ascii="Arial" w:hAnsi="Arial" w:cs="Arial"/>
          <w:sz w:val="24"/>
          <w:lang w:val="es-ES"/>
        </w:rPr>
        <w:t xml:space="preserve">Se definió trabajar con empleadores de graduados ocupados y asalariados (no incluye a los cuenta propia o profesionales independientes) en las áreas del conocimiento con mayor proporción según el estudio de “Seguimiento de la condición laboral de las personas graduadas 2008-2010 de las universidades costarricenses” de OLAP (2014). Estas cinco áreas representaron ese año el 90% de los graduados: Ciencias Económicas, Ciencias Sociales, Educación, Salud e Ingeniería. Sin embargo, para su análisis por separado, se estableció una cuota de n=40 empleadores de personas graduadas de universidades públicas y privadas por área del conocimiento. El tipo de empleador, sea público o privado sigue una distribución proporcional por área. </w:t>
      </w:r>
    </w:p>
    <w:p w:rsidR="0013009C" w:rsidRPr="0013009C" w:rsidRDefault="0013009C" w:rsidP="0013009C">
      <w:pPr>
        <w:ind w:firstLine="708"/>
        <w:jc w:val="both"/>
        <w:rPr>
          <w:rFonts w:ascii="Arial" w:hAnsi="Arial" w:cs="Arial"/>
          <w:sz w:val="24"/>
          <w:lang w:val="es-ES"/>
        </w:rPr>
      </w:pPr>
      <w:r w:rsidRPr="0013009C">
        <w:rPr>
          <w:rFonts w:ascii="Arial" w:hAnsi="Arial" w:cs="Arial"/>
          <w:sz w:val="24"/>
          <w:lang w:val="es-ES"/>
        </w:rPr>
        <w:t>La unidad de análisis de este estudio son las jefaturas de los egresados universitarios en los años 2008-2010 en empresas o instituciones empleadoras, tanto públicas como privadas.</w:t>
      </w:r>
    </w:p>
    <w:p w:rsidR="0013009C" w:rsidRPr="0013009C" w:rsidRDefault="0013009C" w:rsidP="0013009C">
      <w:pPr>
        <w:ind w:firstLine="708"/>
        <w:jc w:val="both"/>
        <w:rPr>
          <w:rFonts w:ascii="Arial" w:hAnsi="Arial" w:cs="Arial"/>
          <w:sz w:val="24"/>
          <w:lang w:val="es-ES"/>
        </w:rPr>
      </w:pPr>
      <w:r w:rsidRPr="0013009C">
        <w:rPr>
          <w:rFonts w:ascii="Arial" w:hAnsi="Arial" w:cs="Arial"/>
          <w:sz w:val="24"/>
          <w:lang w:val="es-ES"/>
        </w:rPr>
        <w:t xml:space="preserve">Para cada </w:t>
      </w:r>
      <w:proofErr w:type="spellStart"/>
      <w:r w:rsidRPr="0013009C">
        <w:rPr>
          <w:rFonts w:ascii="Arial" w:hAnsi="Arial" w:cs="Arial"/>
          <w:sz w:val="24"/>
          <w:lang w:val="es-ES"/>
        </w:rPr>
        <w:t>submuestra</w:t>
      </w:r>
      <w:proofErr w:type="spellEnd"/>
      <w:r w:rsidRPr="0013009C">
        <w:rPr>
          <w:rFonts w:ascii="Arial" w:hAnsi="Arial" w:cs="Arial"/>
          <w:sz w:val="24"/>
          <w:lang w:val="es-ES"/>
        </w:rPr>
        <w:t xml:space="preserve"> se trabaja con un margen de error de 15,5 puntos porcentuales a un nivel de confianza del 95%, calculado con varianza infinita, y para la muestra total de n=200 (ponderada), con un margen de error de 6,9 puntos porcentuales. </w:t>
      </w:r>
    </w:p>
    <w:p w:rsidR="0013009C" w:rsidRPr="0013009C" w:rsidRDefault="0013009C" w:rsidP="0013009C">
      <w:pPr>
        <w:ind w:firstLine="708"/>
        <w:jc w:val="both"/>
        <w:rPr>
          <w:rFonts w:ascii="Arial" w:hAnsi="Arial" w:cs="Arial"/>
          <w:sz w:val="24"/>
          <w:lang w:val="es-ES"/>
        </w:rPr>
      </w:pPr>
      <w:r w:rsidRPr="0013009C">
        <w:rPr>
          <w:rFonts w:ascii="Arial" w:hAnsi="Arial" w:cs="Arial"/>
          <w:sz w:val="24"/>
          <w:lang w:val="es-ES"/>
        </w:rPr>
        <w:t xml:space="preserve"> Aunque el análisis se hace separado por área del conocimiento, cuando se hacen agregaciones, se pondera por el peso de cada sector del conocimiento entre los egresados según los resultados del estudio de OLAP (2014).  </w:t>
      </w:r>
    </w:p>
    <w:p w:rsidR="0013009C" w:rsidRPr="0013009C" w:rsidRDefault="0013009C" w:rsidP="0013009C">
      <w:pPr>
        <w:ind w:firstLine="708"/>
        <w:jc w:val="both"/>
        <w:rPr>
          <w:rFonts w:ascii="Arial" w:hAnsi="Arial" w:cs="Arial"/>
          <w:sz w:val="24"/>
          <w:lang w:val="es-ES"/>
        </w:rPr>
      </w:pPr>
      <w:r w:rsidRPr="0013009C">
        <w:rPr>
          <w:rFonts w:ascii="Arial" w:hAnsi="Arial" w:cs="Arial"/>
          <w:sz w:val="24"/>
          <w:lang w:val="es-ES"/>
        </w:rPr>
        <w:t xml:space="preserve">Se utilizó como marco </w:t>
      </w:r>
      <w:proofErr w:type="spellStart"/>
      <w:r w:rsidRPr="0013009C">
        <w:rPr>
          <w:rFonts w:ascii="Arial" w:hAnsi="Arial" w:cs="Arial"/>
          <w:sz w:val="24"/>
          <w:lang w:val="es-ES"/>
        </w:rPr>
        <w:t>muestral</w:t>
      </w:r>
      <w:proofErr w:type="spellEnd"/>
      <w:r w:rsidRPr="0013009C">
        <w:rPr>
          <w:rFonts w:ascii="Arial" w:hAnsi="Arial" w:cs="Arial"/>
          <w:sz w:val="24"/>
          <w:lang w:val="es-ES"/>
        </w:rPr>
        <w:t xml:space="preserve"> el listado de empleadores reportado por los graduados de la OLAP por área (2014), para luego obtener los números telefónicos de contacto, sin embargo, para algunas cuotas, fue necesario complementar la muestra con listados adicionales de empresas e instituciones. Para la selección de empleadores de listados complementarios se mantuvo el criterio de proporcionalidad de ser público o privado, del tamaño de la institución (según número de empleados) y de la localización (Gran Área Metropolitana o Resto del país) de los empleadores. Todos los entrevistados debían cumplir con el requisito de ser jefes de funcionarios graduados de las áreas de interés. </w:t>
      </w:r>
    </w:p>
    <w:p w:rsidR="0013009C" w:rsidRPr="0013009C" w:rsidRDefault="0013009C" w:rsidP="0013009C">
      <w:pPr>
        <w:ind w:firstLine="708"/>
        <w:jc w:val="both"/>
        <w:rPr>
          <w:rFonts w:ascii="Arial" w:hAnsi="Arial" w:cs="Arial"/>
          <w:sz w:val="24"/>
          <w:lang w:val="es-ES"/>
        </w:rPr>
      </w:pPr>
      <w:r w:rsidRPr="0013009C">
        <w:rPr>
          <w:rFonts w:ascii="Arial" w:hAnsi="Arial" w:cs="Arial"/>
          <w:sz w:val="24"/>
          <w:lang w:val="es-ES"/>
        </w:rPr>
        <w:t xml:space="preserve">Algunos empleadores concentran la contratación de los graduados del país, como por ejemplo el Ministerio de Salud, la Caja Costarricense del Seguro Social (CCSS), o el Ministerio de Educación (MEP). En estos casos para definir la cantidad a entrevistar por empleador se recurrió al criterio de cantidad de graduados contratados por institución y se estimó mediante afijación de cantidad de empleados </w:t>
      </w:r>
      <w:r w:rsidRPr="0013009C">
        <w:rPr>
          <w:rFonts w:ascii="Arial" w:hAnsi="Arial" w:cs="Arial"/>
          <w:sz w:val="24"/>
          <w:lang w:val="es-ES"/>
        </w:rPr>
        <w:lastRenderedPageBreak/>
        <w:t>contratados. Se podía entrevistar más de un departamento en esas instituciones, pero cada encuesta podía ser respondida con base en solamente un área del conocimiento del graduado (Cuadro 1).</w:t>
      </w:r>
    </w:p>
    <w:p w:rsidR="0013009C" w:rsidRPr="0013009C" w:rsidRDefault="0013009C" w:rsidP="0013009C">
      <w:pPr>
        <w:ind w:firstLine="708"/>
        <w:jc w:val="both"/>
        <w:rPr>
          <w:rFonts w:ascii="Arial" w:hAnsi="Arial" w:cs="Arial"/>
          <w:sz w:val="24"/>
          <w:lang w:val="es-ES"/>
        </w:rPr>
      </w:pPr>
      <w:r w:rsidRPr="0013009C">
        <w:rPr>
          <w:rFonts w:ascii="Arial" w:hAnsi="Arial" w:cs="Arial"/>
          <w:sz w:val="24"/>
          <w:lang w:val="es-ES"/>
        </w:rPr>
        <w:t>Así, por ejemplo, la mayoría de los egresados de Educación de esos años, labora para el Ministerio de Educación (85%) y en la GAM (72%), pero se controló según información de la OLAP (2014), si las funciones se desempeñaban en primaria o secundaria. En el caso de Salud, cuyo principal empleador es el sector público (60%), se definieron cuotas de entrevistas del Ministerio (en área administrativa) y en la CCSS, también según resultados de la OLAP (2014), específicamente en la CCSS, si los graduados laboraban en áreas administrativas, en laboratorios, en EBAIS o en hospitales (en este último se encontraba la mayoría -78%- de los contratados en la CCSS).</w:t>
      </w:r>
    </w:p>
    <w:p w:rsidR="0013009C" w:rsidRPr="0013009C" w:rsidRDefault="0013009C" w:rsidP="0013009C">
      <w:pPr>
        <w:ind w:firstLine="708"/>
        <w:rPr>
          <w:lang w:val="es-CR"/>
        </w:rPr>
      </w:pPr>
    </w:p>
    <w:p w:rsidR="0013009C" w:rsidRPr="0013009C" w:rsidRDefault="0013009C" w:rsidP="0013009C">
      <w:pPr>
        <w:rPr>
          <w:rFonts w:ascii="Arial" w:hAnsi="Arial" w:cs="Arial"/>
          <w:b/>
          <w:lang w:val="es-CR"/>
        </w:rPr>
      </w:pPr>
      <w:r w:rsidRPr="0013009C">
        <w:rPr>
          <w:rFonts w:ascii="Arial" w:hAnsi="Arial" w:cs="Arial"/>
          <w:b/>
          <w:lang w:val="es-CR"/>
        </w:rPr>
        <w:t>Cuadro 1</w:t>
      </w:r>
    </w:p>
    <w:p w:rsidR="0013009C" w:rsidRPr="0013009C" w:rsidRDefault="0013009C" w:rsidP="0013009C">
      <w:pPr>
        <w:rPr>
          <w:rFonts w:ascii="Arial" w:hAnsi="Arial" w:cs="Arial"/>
          <w:b/>
        </w:rPr>
      </w:pPr>
      <w:r w:rsidRPr="0013009C">
        <w:rPr>
          <w:rFonts w:ascii="Arial" w:hAnsi="Arial" w:cs="Arial"/>
          <w:b/>
          <w:lang w:val="es-CR"/>
        </w:rPr>
        <w:t xml:space="preserve">Cuotas de las variables de interés definidas para las muestras de cada área del conocimiento. </w:t>
      </w:r>
      <w:proofErr w:type="spellStart"/>
      <w:r w:rsidRPr="0013009C">
        <w:rPr>
          <w:rFonts w:ascii="Arial" w:hAnsi="Arial" w:cs="Arial"/>
          <w:b/>
        </w:rPr>
        <w:t>En</w:t>
      </w:r>
      <w:proofErr w:type="spellEnd"/>
      <w:r w:rsidRPr="0013009C">
        <w:rPr>
          <w:rFonts w:ascii="Arial" w:hAnsi="Arial" w:cs="Arial"/>
          <w:b/>
        </w:rPr>
        <w:t xml:space="preserve"> </w:t>
      </w:r>
      <w:proofErr w:type="spellStart"/>
      <w:r w:rsidRPr="0013009C">
        <w:rPr>
          <w:rFonts w:ascii="Arial" w:hAnsi="Arial" w:cs="Arial"/>
          <w:b/>
        </w:rPr>
        <w:t>porcentajes</w:t>
      </w:r>
      <w:proofErr w:type="spellEnd"/>
      <w:r w:rsidRPr="0013009C">
        <w:rPr>
          <w:rFonts w:ascii="Arial" w:hAnsi="Arial" w:cs="Arial"/>
          <w:b/>
        </w:rPr>
        <w:t>.</w:t>
      </w:r>
    </w:p>
    <w:tbl>
      <w:tblPr>
        <w:tblW w:w="9412" w:type="dxa"/>
        <w:tblCellMar>
          <w:left w:w="70" w:type="dxa"/>
          <w:right w:w="70" w:type="dxa"/>
        </w:tblCellMar>
        <w:tblLook w:val="04A0" w:firstRow="1" w:lastRow="0" w:firstColumn="1" w:lastColumn="0" w:noHBand="0" w:noVBand="1"/>
      </w:tblPr>
      <w:tblGrid>
        <w:gridCol w:w="1759"/>
        <w:gridCol w:w="1711"/>
        <w:gridCol w:w="1385"/>
        <w:gridCol w:w="1490"/>
        <w:gridCol w:w="1482"/>
        <w:gridCol w:w="1585"/>
      </w:tblGrid>
      <w:tr w:rsidR="0013009C" w:rsidRPr="0013009C" w:rsidTr="00030FBD">
        <w:trPr>
          <w:trHeight w:val="199"/>
        </w:trPr>
        <w:tc>
          <w:tcPr>
            <w:tcW w:w="1759" w:type="dxa"/>
            <w:tcBorders>
              <w:top w:val="single" w:sz="4" w:space="0" w:color="auto"/>
              <w:left w:val="nil"/>
              <w:bottom w:val="single" w:sz="4" w:space="0" w:color="auto"/>
              <w:right w:val="nil"/>
            </w:tcBorders>
            <w:shd w:val="clear" w:color="000000" w:fill="FFFFFF"/>
            <w:noWrap/>
            <w:vAlign w:val="bottom"/>
            <w:hideMark/>
          </w:tcPr>
          <w:p w:rsidR="0013009C" w:rsidRPr="0013009C" w:rsidRDefault="0013009C" w:rsidP="00030FBD">
            <w:pPr>
              <w:rPr>
                <w:rFonts w:ascii="Arial" w:hAnsi="Arial" w:cs="Arial"/>
                <w:b/>
                <w:sz w:val="20"/>
                <w:szCs w:val="20"/>
                <w:lang w:eastAsia="es-CR"/>
              </w:rPr>
            </w:pPr>
            <w:proofErr w:type="spellStart"/>
            <w:r w:rsidRPr="0013009C">
              <w:rPr>
                <w:rFonts w:ascii="Arial" w:hAnsi="Arial" w:cs="Arial"/>
                <w:b/>
                <w:sz w:val="20"/>
                <w:szCs w:val="20"/>
                <w:lang w:eastAsia="es-CR"/>
              </w:rPr>
              <w:t>Empleador</w:t>
            </w:r>
            <w:proofErr w:type="spellEnd"/>
            <w:r w:rsidRPr="0013009C">
              <w:rPr>
                <w:rFonts w:ascii="Arial" w:hAnsi="Arial" w:cs="Arial"/>
                <w:b/>
                <w:sz w:val="20"/>
                <w:szCs w:val="20"/>
                <w:lang w:eastAsia="es-CR"/>
              </w:rPr>
              <w:t xml:space="preserve"> </w:t>
            </w:r>
          </w:p>
        </w:tc>
        <w:tc>
          <w:tcPr>
            <w:tcW w:w="1711" w:type="dxa"/>
            <w:tcBorders>
              <w:top w:val="single" w:sz="4" w:space="0" w:color="auto"/>
              <w:left w:val="nil"/>
              <w:bottom w:val="single" w:sz="4" w:space="0" w:color="auto"/>
              <w:right w:val="nil"/>
            </w:tcBorders>
            <w:shd w:val="clear" w:color="000000" w:fill="FFFFFF"/>
            <w:noWrap/>
            <w:vAlign w:val="bottom"/>
            <w:hideMark/>
          </w:tcPr>
          <w:p w:rsidR="0013009C" w:rsidRPr="0013009C" w:rsidRDefault="0013009C" w:rsidP="00030FBD">
            <w:pPr>
              <w:jc w:val="center"/>
              <w:rPr>
                <w:rFonts w:ascii="Arial" w:hAnsi="Arial" w:cs="Arial"/>
                <w:b/>
                <w:sz w:val="20"/>
                <w:szCs w:val="20"/>
                <w:lang w:eastAsia="es-CR"/>
              </w:rPr>
            </w:pPr>
            <w:proofErr w:type="spellStart"/>
            <w:r w:rsidRPr="0013009C">
              <w:rPr>
                <w:rFonts w:ascii="Arial" w:hAnsi="Arial" w:cs="Arial"/>
                <w:b/>
                <w:sz w:val="20"/>
                <w:szCs w:val="20"/>
                <w:lang w:eastAsia="es-CR"/>
              </w:rPr>
              <w:t>Ciencias</w:t>
            </w:r>
            <w:proofErr w:type="spellEnd"/>
            <w:r w:rsidRPr="0013009C">
              <w:rPr>
                <w:rFonts w:ascii="Arial" w:hAnsi="Arial" w:cs="Arial"/>
                <w:b/>
                <w:sz w:val="20"/>
                <w:szCs w:val="20"/>
                <w:lang w:eastAsia="es-CR"/>
              </w:rPr>
              <w:t xml:space="preserve"> </w:t>
            </w:r>
            <w:proofErr w:type="spellStart"/>
            <w:r w:rsidRPr="0013009C">
              <w:rPr>
                <w:rFonts w:ascii="Arial" w:hAnsi="Arial" w:cs="Arial"/>
                <w:b/>
                <w:sz w:val="20"/>
                <w:szCs w:val="20"/>
                <w:lang w:eastAsia="es-CR"/>
              </w:rPr>
              <w:t>Económicas</w:t>
            </w:r>
            <w:proofErr w:type="spellEnd"/>
          </w:p>
        </w:tc>
        <w:tc>
          <w:tcPr>
            <w:tcW w:w="1385" w:type="dxa"/>
            <w:tcBorders>
              <w:top w:val="single" w:sz="4" w:space="0" w:color="auto"/>
              <w:left w:val="nil"/>
              <w:bottom w:val="single" w:sz="4" w:space="0" w:color="auto"/>
              <w:right w:val="nil"/>
            </w:tcBorders>
            <w:shd w:val="clear" w:color="000000" w:fill="FFFFFF"/>
            <w:noWrap/>
            <w:vAlign w:val="bottom"/>
            <w:hideMark/>
          </w:tcPr>
          <w:p w:rsidR="0013009C" w:rsidRPr="0013009C" w:rsidRDefault="0013009C" w:rsidP="00030FBD">
            <w:pPr>
              <w:jc w:val="center"/>
              <w:rPr>
                <w:rFonts w:ascii="Arial" w:hAnsi="Arial" w:cs="Arial"/>
                <w:b/>
                <w:sz w:val="20"/>
                <w:szCs w:val="20"/>
                <w:lang w:eastAsia="es-CR"/>
              </w:rPr>
            </w:pPr>
            <w:proofErr w:type="spellStart"/>
            <w:r w:rsidRPr="0013009C">
              <w:rPr>
                <w:rFonts w:ascii="Arial" w:hAnsi="Arial" w:cs="Arial"/>
                <w:b/>
                <w:sz w:val="20"/>
                <w:szCs w:val="20"/>
                <w:lang w:eastAsia="es-CR"/>
              </w:rPr>
              <w:t>Ciencias</w:t>
            </w:r>
            <w:proofErr w:type="spellEnd"/>
            <w:r w:rsidRPr="0013009C">
              <w:rPr>
                <w:rFonts w:ascii="Arial" w:hAnsi="Arial" w:cs="Arial"/>
                <w:b/>
                <w:sz w:val="20"/>
                <w:szCs w:val="20"/>
                <w:lang w:eastAsia="es-CR"/>
              </w:rPr>
              <w:t xml:space="preserve"> </w:t>
            </w:r>
            <w:proofErr w:type="spellStart"/>
            <w:r w:rsidRPr="0013009C">
              <w:rPr>
                <w:rFonts w:ascii="Arial" w:hAnsi="Arial" w:cs="Arial"/>
                <w:b/>
                <w:sz w:val="20"/>
                <w:szCs w:val="20"/>
                <w:lang w:eastAsia="es-CR"/>
              </w:rPr>
              <w:t>Sociales</w:t>
            </w:r>
            <w:proofErr w:type="spellEnd"/>
          </w:p>
        </w:tc>
        <w:tc>
          <w:tcPr>
            <w:tcW w:w="1490" w:type="dxa"/>
            <w:tcBorders>
              <w:top w:val="single" w:sz="4" w:space="0" w:color="auto"/>
              <w:left w:val="nil"/>
              <w:bottom w:val="single" w:sz="4" w:space="0" w:color="auto"/>
              <w:right w:val="nil"/>
            </w:tcBorders>
            <w:shd w:val="clear" w:color="000000" w:fill="FFFFFF"/>
            <w:noWrap/>
            <w:vAlign w:val="bottom"/>
            <w:hideMark/>
          </w:tcPr>
          <w:p w:rsidR="0013009C" w:rsidRPr="0013009C" w:rsidRDefault="0013009C" w:rsidP="00030FBD">
            <w:pPr>
              <w:jc w:val="center"/>
              <w:rPr>
                <w:rFonts w:ascii="Arial" w:hAnsi="Arial" w:cs="Arial"/>
                <w:b/>
                <w:sz w:val="20"/>
                <w:szCs w:val="20"/>
                <w:lang w:eastAsia="es-CR"/>
              </w:rPr>
            </w:pPr>
            <w:proofErr w:type="spellStart"/>
            <w:r w:rsidRPr="0013009C">
              <w:rPr>
                <w:rFonts w:ascii="Arial" w:hAnsi="Arial" w:cs="Arial"/>
                <w:b/>
                <w:sz w:val="20"/>
                <w:szCs w:val="20"/>
                <w:lang w:eastAsia="es-CR"/>
              </w:rPr>
              <w:t>Educación</w:t>
            </w:r>
            <w:proofErr w:type="spellEnd"/>
          </w:p>
        </w:tc>
        <w:tc>
          <w:tcPr>
            <w:tcW w:w="1482" w:type="dxa"/>
            <w:tcBorders>
              <w:top w:val="single" w:sz="4" w:space="0" w:color="auto"/>
              <w:left w:val="nil"/>
              <w:bottom w:val="single" w:sz="4" w:space="0" w:color="auto"/>
              <w:right w:val="nil"/>
            </w:tcBorders>
            <w:shd w:val="clear" w:color="000000" w:fill="FFFFFF"/>
            <w:noWrap/>
            <w:vAlign w:val="bottom"/>
            <w:hideMark/>
          </w:tcPr>
          <w:p w:rsidR="0013009C" w:rsidRPr="0013009C" w:rsidRDefault="0013009C" w:rsidP="00030FBD">
            <w:pPr>
              <w:jc w:val="center"/>
              <w:rPr>
                <w:rFonts w:ascii="Arial" w:hAnsi="Arial" w:cs="Arial"/>
                <w:b/>
                <w:sz w:val="20"/>
                <w:szCs w:val="20"/>
                <w:lang w:eastAsia="es-CR"/>
              </w:rPr>
            </w:pPr>
            <w:proofErr w:type="spellStart"/>
            <w:r w:rsidRPr="0013009C">
              <w:rPr>
                <w:rFonts w:ascii="Arial" w:hAnsi="Arial" w:cs="Arial"/>
                <w:b/>
                <w:sz w:val="20"/>
                <w:szCs w:val="20"/>
                <w:lang w:eastAsia="es-CR"/>
              </w:rPr>
              <w:t>Ingeniería</w:t>
            </w:r>
            <w:proofErr w:type="spellEnd"/>
          </w:p>
        </w:tc>
        <w:tc>
          <w:tcPr>
            <w:tcW w:w="1585" w:type="dxa"/>
            <w:tcBorders>
              <w:top w:val="single" w:sz="4" w:space="0" w:color="auto"/>
              <w:left w:val="nil"/>
              <w:bottom w:val="single" w:sz="4" w:space="0" w:color="auto"/>
              <w:right w:val="nil"/>
            </w:tcBorders>
            <w:shd w:val="clear" w:color="000000" w:fill="FFFFFF"/>
            <w:noWrap/>
            <w:vAlign w:val="bottom"/>
            <w:hideMark/>
          </w:tcPr>
          <w:p w:rsidR="0013009C" w:rsidRPr="0013009C" w:rsidRDefault="0013009C" w:rsidP="00030FBD">
            <w:pPr>
              <w:jc w:val="center"/>
              <w:rPr>
                <w:rFonts w:ascii="Arial" w:hAnsi="Arial" w:cs="Arial"/>
                <w:b/>
                <w:sz w:val="20"/>
                <w:szCs w:val="20"/>
                <w:lang w:eastAsia="es-CR"/>
              </w:rPr>
            </w:pPr>
            <w:proofErr w:type="spellStart"/>
            <w:r w:rsidRPr="0013009C">
              <w:rPr>
                <w:rFonts w:ascii="Arial" w:hAnsi="Arial" w:cs="Arial"/>
                <w:b/>
                <w:sz w:val="20"/>
                <w:szCs w:val="20"/>
                <w:lang w:eastAsia="es-CR"/>
              </w:rPr>
              <w:t>Ciencias</w:t>
            </w:r>
            <w:proofErr w:type="spellEnd"/>
            <w:r w:rsidRPr="0013009C">
              <w:rPr>
                <w:rFonts w:ascii="Arial" w:hAnsi="Arial" w:cs="Arial"/>
                <w:b/>
                <w:sz w:val="20"/>
                <w:szCs w:val="20"/>
                <w:lang w:eastAsia="es-CR"/>
              </w:rPr>
              <w:t xml:space="preserve"> de la </w:t>
            </w:r>
            <w:proofErr w:type="spellStart"/>
            <w:r w:rsidRPr="0013009C">
              <w:rPr>
                <w:rFonts w:ascii="Arial" w:hAnsi="Arial" w:cs="Arial"/>
                <w:b/>
                <w:sz w:val="20"/>
                <w:szCs w:val="20"/>
                <w:lang w:eastAsia="es-CR"/>
              </w:rPr>
              <w:t>Salud</w:t>
            </w:r>
            <w:proofErr w:type="spellEnd"/>
          </w:p>
        </w:tc>
      </w:tr>
      <w:tr w:rsidR="0013009C" w:rsidRPr="0013009C" w:rsidTr="00030FBD">
        <w:trPr>
          <w:trHeight w:val="199"/>
        </w:trPr>
        <w:tc>
          <w:tcPr>
            <w:tcW w:w="1759" w:type="dxa"/>
            <w:tcBorders>
              <w:top w:val="single" w:sz="4" w:space="0" w:color="auto"/>
              <w:left w:val="nil"/>
              <w:bottom w:val="nil"/>
              <w:right w:val="nil"/>
            </w:tcBorders>
            <w:shd w:val="clear" w:color="000000" w:fill="FFFFFF"/>
            <w:noWrap/>
            <w:hideMark/>
          </w:tcPr>
          <w:p w:rsidR="0013009C" w:rsidRPr="0013009C" w:rsidRDefault="0013009C" w:rsidP="00030FBD">
            <w:pPr>
              <w:rPr>
                <w:rFonts w:ascii="Arial" w:hAnsi="Arial" w:cs="Arial"/>
                <w:sz w:val="20"/>
                <w:szCs w:val="20"/>
                <w:lang w:eastAsia="es-CR"/>
              </w:rPr>
            </w:pPr>
            <w:r w:rsidRPr="0013009C">
              <w:rPr>
                <w:rFonts w:ascii="Arial" w:hAnsi="Arial" w:cs="Arial"/>
                <w:sz w:val="20"/>
                <w:szCs w:val="20"/>
              </w:rPr>
              <w:t xml:space="preserve">Sector </w:t>
            </w:r>
            <w:proofErr w:type="spellStart"/>
            <w:r w:rsidRPr="0013009C">
              <w:rPr>
                <w:rFonts w:ascii="Arial" w:hAnsi="Arial" w:cs="Arial"/>
                <w:sz w:val="20"/>
                <w:szCs w:val="20"/>
              </w:rPr>
              <w:t>público</w:t>
            </w:r>
            <w:proofErr w:type="spellEnd"/>
          </w:p>
        </w:tc>
        <w:tc>
          <w:tcPr>
            <w:tcW w:w="1711" w:type="dxa"/>
            <w:tcBorders>
              <w:top w:val="single" w:sz="4" w:space="0" w:color="auto"/>
              <w:left w:val="nil"/>
              <w:bottom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54,1</w:t>
            </w:r>
          </w:p>
        </w:tc>
        <w:tc>
          <w:tcPr>
            <w:tcW w:w="1385" w:type="dxa"/>
            <w:tcBorders>
              <w:top w:val="single" w:sz="4" w:space="0" w:color="auto"/>
              <w:left w:val="nil"/>
              <w:bottom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50,7</w:t>
            </w:r>
          </w:p>
        </w:tc>
        <w:tc>
          <w:tcPr>
            <w:tcW w:w="1490" w:type="dxa"/>
            <w:tcBorders>
              <w:top w:val="single" w:sz="4" w:space="0" w:color="auto"/>
              <w:left w:val="nil"/>
              <w:bottom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85,3</w:t>
            </w:r>
          </w:p>
        </w:tc>
        <w:tc>
          <w:tcPr>
            <w:tcW w:w="1482" w:type="dxa"/>
            <w:tcBorders>
              <w:top w:val="single" w:sz="4" w:space="0" w:color="auto"/>
              <w:left w:val="nil"/>
              <w:bottom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31,5</w:t>
            </w:r>
          </w:p>
        </w:tc>
        <w:tc>
          <w:tcPr>
            <w:tcW w:w="1585" w:type="dxa"/>
            <w:tcBorders>
              <w:top w:val="single" w:sz="4" w:space="0" w:color="auto"/>
              <w:left w:val="nil"/>
              <w:bottom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59,7</w:t>
            </w:r>
          </w:p>
        </w:tc>
      </w:tr>
      <w:tr w:rsidR="0013009C" w:rsidRPr="0013009C" w:rsidTr="00030FBD">
        <w:trPr>
          <w:trHeight w:val="199"/>
        </w:trPr>
        <w:tc>
          <w:tcPr>
            <w:tcW w:w="1759" w:type="dxa"/>
            <w:tcBorders>
              <w:top w:val="nil"/>
              <w:left w:val="nil"/>
              <w:bottom w:val="single" w:sz="4" w:space="0" w:color="auto"/>
              <w:right w:val="nil"/>
            </w:tcBorders>
            <w:shd w:val="clear" w:color="000000" w:fill="FFFFFF"/>
            <w:noWrap/>
            <w:hideMark/>
          </w:tcPr>
          <w:p w:rsidR="0013009C" w:rsidRPr="0013009C" w:rsidRDefault="0013009C" w:rsidP="00030FBD">
            <w:pPr>
              <w:rPr>
                <w:rFonts w:ascii="Arial" w:hAnsi="Arial" w:cs="Arial"/>
                <w:sz w:val="20"/>
                <w:szCs w:val="20"/>
                <w:lang w:eastAsia="es-CR"/>
              </w:rPr>
            </w:pPr>
            <w:r w:rsidRPr="0013009C">
              <w:rPr>
                <w:rFonts w:ascii="Arial" w:hAnsi="Arial" w:cs="Arial"/>
                <w:sz w:val="20"/>
                <w:szCs w:val="20"/>
              </w:rPr>
              <w:t xml:space="preserve">Sector </w:t>
            </w:r>
            <w:proofErr w:type="spellStart"/>
            <w:r w:rsidRPr="0013009C">
              <w:rPr>
                <w:rFonts w:ascii="Arial" w:hAnsi="Arial" w:cs="Arial"/>
                <w:sz w:val="20"/>
                <w:szCs w:val="20"/>
              </w:rPr>
              <w:t>privado</w:t>
            </w:r>
            <w:proofErr w:type="spellEnd"/>
          </w:p>
        </w:tc>
        <w:tc>
          <w:tcPr>
            <w:tcW w:w="1711" w:type="dxa"/>
            <w:tcBorders>
              <w:top w:val="nil"/>
              <w:left w:val="nil"/>
              <w:bottom w:val="single" w:sz="4" w:space="0" w:color="auto"/>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45,9</w:t>
            </w:r>
          </w:p>
        </w:tc>
        <w:tc>
          <w:tcPr>
            <w:tcW w:w="1385" w:type="dxa"/>
            <w:tcBorders>
              <w:top w:val="nil"/>
              <w:left w:val="nil"/>
              <w:bottom w:val="single" w:sz="4" w:space="0" w:color="auto"/>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49,3</w:t>
            </w:r>
          </w:p>
        </w:tc>
        <w:tc>
          <w:tcPr>
            <w:tcW w:w="1490" w:type="dxa"/>
            <w:tcBorders>
              <w:top w:val="nil"/>
              <w:left w:val="nil"/>
              <w:bottom w:val="single" w:sz="4" w:space="0" w:color="auto"/>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14,7</w:t>
            </w:r>
          </w:p>
        </w:tc>
        <w:tc>
          <w:tcPr>
            <w:tcW w:w="1482" w:type="dxa"/>
            <w:tcBorders>
              <w:top w:val="nil"/>
              <w:left w:val="nil"/>
              <w:bottom w:val="single" w:sz="4" w:space="0" w:color="auto"/>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68,5</w:t>
            </w:r>
          </w:p>
        </w:tc>
        <w:tc>
          <w:tcPr>
            <w:tcW w:w="1585" w:type="dxa"/>
            <w:tcBorders>
              <w:top w:val="nil"/>
              <w:left w:val="nil"/>
              <w:bottom w:val="single" w:sz="4" w:space="0" w:color="auto"/>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40,3</w:t>
            </w:r>
          </w:p>
        </w:tc>
      </w:tr>
      <w:tr w:rsidR="0013009C" w:rsidRPr="0013009C" w:rsidTr="00030FBD">
        <w:trPr>
          <w:trHeight w:val="199"/>
        </w:trPr>
        <w:tc>
          <w:tcPr>
            <w:tcW w:w="1759" w:type="dxa"/>
            <w:tcBorders>
              <w:top w:val="single" w:sz="4" w:space="0" w:color="auto"/>
              <w:left w:val="nil"/>
              <w:bottom w:val="nil"/>
              <w:right w:val="nil"/>
            </w:tcBorders>
            <w:shd w:val="clear" w:color="000000" w:fill="FFFFFF"/>
            <w:noWrap/>
            <w:hideMark/>
          </w:tcPr>
          <w:p w:rsidR="0013009C" w:rsidRPr="0013009C" w:rsidRDefault="0013009C" w:rsidP="00030FBD">
            <w:pPr>
              <w:rPr>
                <w:rFonts w:ascii="Arial" w:hAnsi="Arial" w:cs="Arial"/>
                <w:sz w:val="20"/>
                <w:szCs w:val="20"/>
                <w:lang w:eastAsia="es-CR"/>
              </w:rPr>
            </w:pPr>
            <w:r w:rsidRPr="0013009C">
              <w:rPr>
                <w:rFonts w:ascii="Arial" w:hAnsi="Arial" w:cs="Arial"/>
                <w:sz w:val="20"/>
                <w:szCs w:val="20"/>
              </w:rPr>
              <w:t>GAM</w:t>
            </w:r>
          </w:p>
        </w:tc>
        <w:tc>
          <w:tcPr>
            <w:tcW w:w="1711" w:type="dxa"/>
            <w:tcBorders>
              <w:top w:val="single" w:sz="4" w:space="0" w:color="auto"/>
              <w:left w:val="nil"/>
              <w:bottom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85,8</w:t>
            </w:r>
          </w:p>
        </w:tc>
        <w:tc>
          <w:tcPr>
            <w:tcW w:w="1385" w:type="dxa"/>
            <w:tcBorders>
              <w:top w:val="single" w:sz="4" w:space="0" w:color="auto"/>
              <w:left w:val="nil"/>
              <w:bottom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82,5</w:t>
            </w:r>
          </w:p>
        </w:tc>
        <w:tc>
          <w:tcPr>
            <w:tcW w:w="1490" w:type="dxa"/>
            <w:tcBorders>
              <w:top w:val="single" w:sz="4" w:space="0" w:color="auto"/>
              <w:left w:val="nil"/>
              <w:bottom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71,9</w:t>
            </w:r>
          </w:p>
        </w:tc>
        <w:tc>
          <w:tcPr>
            <w:tcW w:w="1482" w:type="dxa"/>
            <w:tcBorders>
              <w:top w:val="single" w:sz="4" w:space="0" w:color="auto"/>
              <w:left w:val="nil"/>
              <w:bottom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91,1</w:t>
            </w:r>
          </w:p>
        </w:tc>
        <w:tc>
          <w:tcPr>
            <w:tcW w:w="1585" w:type="dxa"/>
            <w:tcBorders>
              <w:top w:val="single" w:sz="4" w:space="0" w:color="auto"/>
              <w:left w:val="nil"/>
              <w:bottom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77,8</w:t>
            </w:r>
          </w:p>
        </w:tc>
      </w:tr>
      <w:tr w:rsidR="0013009C" w:rsidRPr="0013009C" w:rsidTr="00030FBD">
        <w:trPr>
          <w:trHeight w:val="199"/>
        </w:trPr>
        <w:tc>
          <w:tcPr>
            <w:tcW w:w="1759" w:type="dxa"/>
            <w:tcBorders>
              <w:top w:val="nil"/>
              <w:left w:val="nil"/>
              <w:bottom w:val="single" w:sz="4" w:space="0" w:color="auto"/>
              <w:right w:val="nil"/>
            </w:tcBorders>
            <w:shd w:val="clear" w:color="000000" w:fill="FFFFFF"/>
            <w:noWrap/>
            <w:hideMark/>
          </w:tcPr>
          <w:p w:rsidR="0013009C" w:rsidRPr="0013009C" w:rsidRDefault="0013009C" w:rsidP="00030FBD">
            <w:pPr>
              <w:rPr>
                <w:rFonts w:ascii="Arial" w:hAnsi="Arial" w:cs="Arial"/>
                <w:sz w:val="20"/>
                <w:szCs w:val="20"/>
                <w:lang w:eastAsia="es-CR"/>
              </w:rPr>
            </w:pPr>
            <w:proofErr w:type="spellStart"/>
            <w:r w:rsidRPr="0013009C">
              <w:rPr>
                <w:rFonts w:ascii="Arial" w:hAnsi="Arial" w:cs="Arial"/>
                <w:sz w:val="20"/>
                <w:szCs w:val="20"/>
              </w:rPr>
              <w:t>Fuera</w:t>
            </w:r>
            <w:proofErr w:type="spellEnd"/>
            <w:r w:rsidRPr="0013009C">
              <w:rPr>
                <w:rFonts w:ascii="Arial" w:hAnsi="Arial" w:cs="Arial"/>
                <w:sz w:val="20"/>
                <w:szCs w:val="20"/>
              </w:rPr>
              <w:t xml:space="preserve"> GAM</w:t>
            </w:r>
          </w:p>
        </w:tc>
        <w:tc>
          <w:tcPr>
            <w:tcW w:w="1711" w:type="dxa"/>
            <w:tcBorders>
              <w:top w:val="nil"/>
              <w:left w:val="nil"/>
              <w:bottom w:val="single" w:sz="4" w:space="0" w:color="auto"/>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14,2</w:t>
            </w:r>
          </w:p>
        </w:tc>
        <w:tc>
          <w:tcPr>
            <w:tcW w:w="1385" w:type="dxa"/>
            <w:tcBorders>
              <w:top w:val="nil"/>
              <w:left w:val="nil"/>
              <w:bottom w:val="single" w:sz="4" w:space="0" w:color="auto"/>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17,5</w:t>
            </w:r>
          </w:p>
        </w:tc>
        <w:tc>
          <w:tcPr>
            <w:tcW w:w="1490" w:type="dxa"/>
            <w:tcBorders>
              <w:top w:val="nil"/>
              <w:left w:val="nil"/>
              <w:bottom w:val="single" w:sz="4" w:space="0" w:color="auto"/>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28,1</w:t>
            </w:r>
          </w:p>
        </w:tc>
        <w:tc>
          <w:tcPr>
            <w:tcW w:w="1482" w:type="dxa"/>
            <w:tcBorders>
              <w:top w:val="nil"/>
              <w:left w:val="nil"/>
              <w:bottom w:val="single" w:sz="4" w:space="0" w:color="auto"/>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8,9</w:t>
            </w:r>
          </w:p>
        </w:tc>
        <w:tc>
          <w:tcPr>
            <w:tcW w:w="1585" w:type="dxa"/>
            <w:tcBorders>
              <w:top w:val="nil"/>
              <w:left w:val="nil"/>
              <w:bottom w:val="single" w:sz="4" w:space="0" w:color="auto"/>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22,2</w:t>
            </w:r>
          </w:p>
        </w:tc>
      </w:tr>
      <w:tr w:rsidR="0013009C" w:rsidRPr="0013009C" w:rsidTr="00030FBD">
        <w:trPr>
          <w:trHeight w:val="199"/>
        </w:trPr>
        <w:tc>
          <w:tcPr>
            <w:tcW w:w="1759" w:type="dxa"/>
            <w:tcBorders>
              <w:top w:val="single" w:sz="4" w:space="0" w:color="auto"/>
              <w:left w:val="nil"/>
              <w:right w:val="nil"/>
            </w:tcBorders>
            <w:shd w:val="clear" w:color="000000" w:fill="FFFFFF"/>
            <w:noWrap/>
            <w:hideMark/>
          </w:tcPr>
          <w:p w:rsidR="0013009C" w:rsidRPr="0013009C" w:rsidRDefault="0013009C" w:rsidP="00030FBD">
            <w:pPr>
              <w:rPr>
                <w:rFonts w:ascii="Arial" w:hAnsi="Arial" w:cs="Arial"/>
                <w:sz w:val="20"/>
                <w:szCs w:val="20"/>
                <w:lang w:eastAsia="es-CR"/>
              </w:rPr>
            </w:pPr>
            <w:proofErr w:type="spellStart"/>
            <w:r w:rsidRPr="0013009C">
              <w:rPr>
                <w:rFonts w:ascii="Arial" w:hAnsi="Arial" w:cs="Arial"/>
                <w:sz w:val="20"/>
                <w:szCs w:val="20"/>
              </w:rPr>
              <w:t>Pequeña</w:t>
            </w:r>
            <w:proofErr w:type="spellEnd"/>
          </w:p>
        </w:tc>
        <w:tc>
          <w:tcPr>
            <w:tcW w:w="1711" w:type="dxa"/>
            <w:tcBorders>
              <w:top w:val="single" w:sz="4" w:space="0" w:color="auto"/>
              <w:left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16,2</w:t>
            </w:r>
          </w:p>
        </w:tc>
        <w:tc>
          <w:tcPr>
            <w:tcW w:w="1385" w:type="dxa"/>
            <w:tcBorders>
              <w:top w:val="single" w:sz="4" w:space="0" w:color="auto"/>
              <w:left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26,1</w:t>
            </w:r>
          </w:p>
        </w:tc>
        <w:tc>
          <w:tcPr>
            <w:tcW w:w="1490" w:type="dxa"/>
            <w:tcBorders>
              <w:top w:val="single" w:sz="4" w:space="0" w:color="auto"/>
              <w:left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17,1</w:t>
            </w:r>
          </w:p>
        </w:tc>
        <w:tc>
          <w:tcPr>
            <w:tcW w:w="1482" w:type="dxa"/>
            <w:tcBorders>
              <w:top w:val="single" w:sz="4" w:space="0" w:color="auto"/>
              <w:left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27,6</w:t>
            </w:r>
          </w:p>
        </w:tc>
        <w:tc>
          <w:tcPr>
            <w:tcW w:w="1585" w:type="dxa"/>
            <w:tcBorders>
              <w:top w:val="single" w:sz="4" w:space="0" w:color="auto"/>
              <w:left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39,1</w:t>
            </w:r>
          </w:p>
        </w:tc>
      </w:tr>
      <w:tr w:rsidR="0013009C" w:rsidRPr="0013009C" w:rsidTr="00030FBD">
        <w:trPr>
          <w:trHeight w:val="199"/>
        </w:trPr>
        <w:tc>
          <w:tcPr>
            <w:tcW w:w="1759" w:type="dxa"/>
            <w:tcBorders>
              <w:top w:val="nil"/>
              <w:left w:val="nil"/>
              <w:right w:val="nil"/>
            </w:tcBorders>
            <w:shd w:val="clear" w:color="000000" w:fill="FFFFFF"/>
            <w:noWrap/>
            <w:hideMark/>
          </w:tcPr>
          <w:p w:rsidR="0013009C" w:rsidRPr="0013009C" w:rsidRDefault="0013009C" w:rsidP="00030FBD">
            <w:pPr>
              <w:rPr>
                <w:rFonts w:ascii="Arial" w:hAnsi="Arial" w:cs="Arial"/>
                <w:sz w:val="20"/>
                <w:szCs w:val="20"/>
                <w:lang w:eastAsia="es-CR"/>
              </w:rPr>
            </w:pPr>
            <w:proofErr w:type="spellStart"/>
            <w:r w:rsidRPr="0013009C">
              <w:rPr>
                <w:rFonts w:ascii="Arial" w:hAnsi="Arial" w:cs="Arial"/>
                <w:sz w:val="20"/>
                <w:szCs w:val="20"/>
              </w:rPr>
              <w:t>Mediana</w:t>
            </w:r>
            <w:proofErr w:type="spellEnd"/>
          </w:p>
        </w:tc>
        <w:tc>
          <w:tcPr>
            <w:tcW w:w="1711" w:type="dxa"/>
            <w:tcBorders>
              <w:top w:val="nil"/>
              <w:left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8,4</w:t>
            </w:r>
          </w:p>
        </w:tc>
        <w:tc>
          <w:tcPr>
            <w:tcW w:w="1385" w:type="dxa"/>
            <w:tcBorders>
              <w:top w:val="nil"/>
              <w:left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10,7</w:t>
            </w:r>
          </w:p>
        </w:tc>
        <w:tc>
          <w:tcPr>
            <w:tcW w:w="1490" w:type="dxa"/>
            <w:tcBorders>
              <w:top w:val="nil"/>
              <w:left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20,6</w:t>
            </w:r>
          </w:p>
        </w:tc>
        <w:tc>
          <w:tcPr>
            <w:tcW w:w="1482" w:type="dxa"/>
            <w:tcBorders>
              <w:top w:val="nil"/>
              <w:left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10,4</w:t>
            </w:r>
          </w:p>
        </w:tc>
        <w:tc>
          <w:tcPr>
            <w:tcW w:w="1585" w:type="dxa"/>
            <w:tcBorders>
              <w:top w:val="nil"/>
              <w:left w:val="nil"/>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6,1</w:t>
            </w:r>
          </w:p>
        </w:tc>
      </w:tr>
      <w:tr w:rsidR="0013009C" w:rsidRPr="0013009C" w:rsidTr="00030FBD">
        <w:trPr>
          <w:trHeight w:val="199"/>
        </w:trPr>
        <w:tc>
          <w:tcPr>
            <w:tcW w:w="1759" w:type="dxa"/>
            <w:tcBorders>
              <w:left w:val="nil"/>
              <w:bottom w:val="single" w:sz="4" w:space="0" w:color="auto"/>
              <w:right w:val="nil"/>
            </w:tcBorders>
            <w:shd w:val="clear" w:color="000000" w:fill="FFFFFF"/>
            <w:noWrap/>
          </w:tcPr>
          <w:p w:rsidR="0013009C" w:rsidRPr="0013009C" w:rsidRDefault="0013009C" w:rsidP="00030FBD">
            <w:pPr>
              <w:rPr>
                <w:rFonts w:ascii="Arial" w:hAnsi="Arial" w:cs="Arial"/>
                <w:sz w:val="20"/>
                <w:szCs w:val="20"/>
                <w:lang w:eastAsia="es-CR"/>
              </w:rPr>
            </w:pPr>
            <w:r w:rsidRPr="0013009C">
              <w:rPr>
                <w:rFonts w:ascii="Arial" w:hAnsi="Arial" w:cs="Arial"/>
                <w:sz w:val="20"/>
                <w:szCs w:val="20"/>
              </w:rPr>
              <w:t>Grande</w:t>
            </w:r>
          </w:p>
        </w:tc>
        <w:tc>
          <w:tcPr>
            <w:tcW w:w="1711" w:type="dxa"/>
            <w:tcBorders>
              <w:left w:val="nil"/>
              <w:bottom w:val="single" w:sz="4" w:space="0" w:color="auto"/>
              <w:right w:val="nil"/>
            </w:tcBorders>
            <w:shd w:val="clear" w:color="000000" w:fill="FFFFFF"/>
            <w:noWrap/>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75,4</w:t>
            </w:r>
          </w:p>
        </w:tc>
        <w:tc>
          <w:tcPr>
            <w:tcW w:w="1385" w:type="dxa"/>
            <w:tcBorders>
              <w:left w:val="nil"/>
              <w:bottom w:val="single" w:sz="4" w:space="0" w:color="auto"/>
              <w:right w:val="nil"/>
            </w:tcBorders>
            <w:shd w:val="clear" w:color="000000" w:fill="FFFFFF"/>
            <w:noWrap/>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63,2</w:t>
            </w:r>
          </w:p>
        </w:tc>
        <w:tc>
          <w:tcPr>
            <w:tcW w:w="1490" w:type="dxa"/>
            <w:tcBorders>
              <w:left w:val="nil"/>
              <w:bottom w:val="single" w:sz="4" w:space="0" w:color="auto"/>
              <w:right w:val="nil"/>
            </w:tcBorders>
            <w:shd w:val="clear" w:color="000000" w:fill="FFFFFF"/>
            <w:noWrap/>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62,3</w:t>
            </w:r>
          </w:p>
        </w:tc>
        <w:tc>
          <w:tcPr>
            <w:tcW w:w="1482" w:type="dxa"/>
            <w:tcBorders>
              <w:left w:val="nil"/>
              <w:bottom w:val="single" w:sz="4" w:space="0" w:color="auto"/>
              <w:right w:val="nil"/>
            </w:tcBorders>
            <w:shd w:val="clear" w:color="000000" w:fill="FFFFFF"/>
            <w:noWrap/>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62,0</w:t>
            </w:r>
          </w:p>
        </w:tc>
        <w:tc>
          <w:tcPr>
            <w:tcW w:w="1585" w:type="dxa"/>
            <w:tcBorders>
              <w:left w:val="nil"/>
              <w:bottom w:val="single" w:sz="4" w:space="0" w:color="auto"/>
              <w:right w:val="nil"/>
            </w:tcBorders>
            <w:shd w:val="clear" w:color="000000" w:fill="FFFFFF"/>
            <w:noWrap/>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54,8</w:t>
            </w:r>
          </w:p>
        </w:tc>
      </w:tr>
      <w:tr w:rsidR="0013009C" w:rsidRPr="0013009C" w:rsidTr="00030FBD">
        <w:trPr>
          <w:trHeight w:val="199"/>
        </w:trPr>
        <w:tc>
          <w:tcPr>
            <w:tcW w:w="1759" w:type="dxa"/>
            <w:tcBorders>
              <w:top w:val="single" w:sz="4" w:space="0" w:color="auto"/>
              <w:left w:val="nil"/>
              <w:bottom w:val="single" w:sz="4" w:space="0" w:color="auto"/>
              <w:right w:val="nil"/>
            </w:tcBorders>
            <w:shd w:val="clear" w:color="000000" w:fill="FFFFFF"/>
            <w:noWrap/>
            <w:hideMark/>
          </w:tcPr>
          <w:p w:rsidR="0013009C" w:rsidRPr="0013009C" w:rsidRDefault="0013009C" w:rsidP="00030FBD">
            <w:pPr>
              <w:rPr>
                <w:rFonts w:ascii="Arial" w:hAnsi="Arial" w:cs="Arial"/>
                <w:sz w:val="20"/>
                <w:szCs w:val="20"/>
                <w:lang w:eastAsia="es-CR"/>
              </w:rPr>
            </w:pPr>
            <w:r w:rsidRPr="0013009C">
              <w:rPr>
                <w:rFonts w:ascii="Arial" w:hAnsi="Arial" w:cs="Arial"/>
                <w:sz w:val="20"/>
                <w:szCs w:val="20"/>
              </w:rPr>
              <w:t>Total</w:t>
            </w:r>
          </w:p>
        </w:tc>
        <w:tc>
          <w:tcPr>
            <w:tcW w:w="1711" w:type="dxa"/>
            <w:tcBorders>
              <w:top w:val="single" w:sz="4" w:space="0" w:color="auto"/>
              <w:left w:val="nil"/>
              <w:bottom w:val="single" w:sz="4" w:space="0" w:color="auto"/>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100,0</w:t>
            </w:r>
          </w:p>
        </w:tc>
        <w:tc>
          <w:tcPr>
            <w:tcW w:w="1385" w:type="dxa"/>
            <w:tcBorders>
              <w:top w:val="single" w:sz="4" w:space="0" w:color="auto"/>
              <w:left w:val="nil"/>
              <w:bottom w:val="single" w:sz="4" w:space="0" w:color="auto"/>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100,0</w:t>
            </w:r>
          </w:p>
        </w:tc>
        <w:tc>
          <w:tcPr>
            <w:tcW w:w="1490" w:type="dxa"/>
            <w:tcBorders>
              <w:top w:val="single" w:sz="4" w:space="0" w:color="auto"/>
              <w:left w:val="nil"/>
              <w:bottom w:val="single" w:sz="4" w:space="0" w:color="auto"/>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100,0</w:t>
            </w:r>
          </w:p>
        </w:tc>
        <w:tc>
          <w:tcPr>
            <w:tcW w:w="1482" w:type="dxa"/>
            <w:tcBorders>
              <w:top w:val="single" w:sz="4" w:space="0" w:color="auto"/>
              <w:left w:val="nil"/>
              <w:bottom w:val="single" w:sz="4" w:space="0" w:color="auto"/>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100,0</w:t>
            </w:r>
          </w:p>
        </w:tc>
        <w:tc>
          <w:tcPr>
            <w:tcW w:w="1585" w:type="dxa"/>
            <w:tcBorders>
              <w:top w:val="single" w:sz="4" w:space="0" w:color="auto"/>
              <w:left w:val="nil"/>
              <w:bottom w:val="single" w:sz="4" w:space="0" w:color="auto"/>
              <w:right w:val="nil"/>
            </w:tcBorders>
            <w:shd w:val="clear" w:color="000000" w:fill="FFFFFF"/>
            <w:noWrap/>
            <w:hideMark/>
          </w:tcPr>
          <w:p w:rsidR="0013009C" w:rsidRPr="0013009C" w:rsidRDefault="0013009C" w:rsidP="00030FBD">
            <w:pPr>
              <w:jc w:val="right"/>
              <w:rPr>
                <w:rFonts w:ascii="Arial" w:hAnsi="Arial" w:cs="Arial"/>
                <w:sz w:val="20"/>
                <w:szCs w:val="20"/>
                <w:lang w:eastAsia="es-CR"/>
              </w:rPr>
            </w:pPr>
            <w:r w:rsidRPr="0013009C">
              <w:rPr>
                <w:rFonts w:ascii="Arial" w:hAnsi="Arial" w:cs="Arial"/>
                <w:sz w:val="20"/>
                <w:szCs w:val="20"/>
              </w:rPr>
              <w:t>100,0</w:t>
            </w:r>
          </w:p>
        </w:tc>
      </w:tr>
    </w:tbl>
    <w:p w:rsidR="0013009C" w:rsidRPr="0013009C" w:rsidRDefault="0013009C" w:rsidP="0013009C">
      <w:pPr>
        <w:rPr>
          <w:rFonts w:ascii="Arial" w:hAnsi="Arial" w:cs="Arial"/>
          <w:sz w:val="20"/>
          <w:lang w:val="es-CR"/>
        </w:rPr>
      </w:pPr>
      <w:r w:rsidRPr="0013009C">
        <w:rPr>
          <w:rFonts w:ascii="Arial" w:hAnsi="Arial" w:cs="Arial"/>
          <w:sz w:val="20"/>
          <w:lang w:val="es-CR"/>
        </w:rPr>
        <w:t xml:space="preserve">Fuente: </w:t>
      </w:r>
      <w:r w:rsidR="00223D97">
        <w:rPr>
          <w:rFonts w:ascii="Arial" w:hAnsi="Arial" w:cs="Arial"/>
          <w:sz w:val="20"/>
          <w:lang w:val="es-CR"/>
        </w:rPr>
        <w:t>Román</w:t>
      </w:r>
      <w:bookmarkEnd w:id="0"/>
      <w:bookmarkEnd w:id="1"/>
      <w:r w:rsidR="00223D97">
        <w:rPr>
          <w:rFonts w:ascii="Arial" w:hAnsi="Arial" w:cs="Arial"/>
          <w:sz w:val="20"/>
          <w:lang w:val="es-CR"/>
        </w:rPr>
        <w:t xml:space="preserve"> et al., 2016.</w:t>
      </w:r>
    </w:p>
    <w:p w:rsidR="0013009C" w:rsidRDefault="0013009C">
      <w:pPr>
        <w:rPr>
          <w:rFonts w:ascii="Arial" w:hAnsi="Arial" w:cs="Arial"/>
          <w:b/>
          <w:sz w:val="24"/>
          <w:szCs w:val="24"/>
          <w:lang w:val="es-CR"/>
        </w:rPr>
      </w:pPr>
      <w:bookmarkStart w:id="2" w:name="_GoBack"/>
      <w:bookmarkEnd w:id="2"/>
    </w:p>
    <w:p w:rsidR="00C33AD9" w:rsidRDefault="00915592" w:rsidP="00C33AD9">
      <w:pPr>
        <w:rPr>
          <w:rFonts w:ascii="Arial" w:hAnsi="Arial" w:cs="Arial"/>
          <w:b/>
          <w:sz w:val="24"/>
          <w:szCs w:val="24"/>
          <w:lang w:val="es-CR"/>
        </w:rPr>
      </w:pPr>
      <w:r w:rsidRPr="00915592">
        <w:rPr>
          <w:rFonts w:ascii="Arial" w:hAnsi="Arial" w:cs="Arial"/>
          <w:b/>
          <w:sz w:val="24"/>
          <w:szCs w:val="24"/>
          <w:lang w:val="es-CR"/>
        </w:rPr>
        <w:t xml:space="preserve">Instrumentos: </w:t>
      </w:r>
    </w:p>
    <w:p w:rsidR="0013009C" w:rsidRPr="0013009C" w:rsidRDefault="0013009C" w:rsidP="0013009C">
      <w:pPr>
        <w:ind w:firstLine="708"/>
        <w:jc w:val="both"/>
        <w:rPr>
          <w:rFonts w:ascii="Arial" w:hAnsi="Arial" w:cs="Arial"/>
          <w:sz w:val="24"/>
          <w:lang w:val="es-ES"/>
        </w:rPr>
      </w:pPr>
      <w:r w:rsidRPr="0013009C">
        <w:rPr>
          <w:rFonts w:ascii="Arial" w:hAnsi="Arial" w:cs="Arial"/>
          <w:sz w:val="24"/>
          <w:lang w:val="es-ES"/>
        </w:rPr>
        <w:t xml:space="preserve">Se diseñó un cuestionario con base en los objetivos, la revisión de estudios empíricos, los factores específicos definidos en las Dimensiones del modelo de acreditación del </w:t>
      </w:r>
      <w:proofErr w:type="spellStart"/>
      <w:r w:rsidRPr="0013009C">
        <w:rPr>
          <w:rFonts w:ascii="Arial" w:hAnsi="Arial" w:cs="Arial"/>
          <w:sz w:val="24"/>
          <w:lang w:val="es-ES"/>
        </w:rPr>
        <w:t>Sinaes</w:t>
      </w:r>
      <w:proofErr w:type="spellEnd"/>
      <w:r w:rsidRPr="0013009C">
        <w:rPr>
          <w:rFonts w:ascii="Arial" w:hAnsi="Arial" w:cs="Arial"/>
          <w:sz w:val="24"/>
          <w:lang w:val="es-ES"/>
        </w:rPr>
        <w:t xml:space="preserve"> para carreras de grado (</w:t>
      </w:r>
      <w:proofErr w:type="spellStart"/>
      <w:r w:rsidRPr="0013009C">
        <w:rPr>
          <w:rFonts w:ascii="Arial" w:hAnsi="Arial" w:cs="Arial"/>
          <w:sz w:val="24"/>
          <w:lang w:val="es-ES"/>
        </w:rPr>
        <w:t>Sinaes</w:t>
      </w:r>
      <w:proofErr w:type="spellEnd"/>
      <w:r w:rsidRPr="0013009C">
        <w:rPr>
          <w:rFonts w:ascii="Arial" w:hAnsi="Arial" w:cs="Arial"/>
          <w:sz w:val="24"/>
          <w:lang w:val="es-ES"/>
        </w:rPr>
        <w:t xml:space="preserve">, 2009), y la encuesta de egresados de OLAP (2014) en preguntas de caracterización de los entrevistados. También se revisaron estudios empíricos en otros países, pero el realizado en México por CIDAC (2014) fue el que brindó el mayor aporte según los objetivos del estudio. El cuestionario era </w:t>
      </w:r>
      <w:proofErr w:type="spellStart"/>
      <w:r w:rsidRPr="0013009C">
        <w:rPr>
          <w:rFonts w:ascii="Arial" w:hAnsi="Arial" w:cs="Arial"/>
          <w:sz w:val="24"/>
          <w:lang w:val="es-ES"/>
        </w:rPr>
        <w:t>semi</w:t>
      </w:r>
      <w:proofErr w:type="spellEnd"/>
      <w:r w:rsidRPr="0013009C">
        <w:rPr>
          <w:rFonts w:ascii="Arial" w:hAnsi="Arial" w:cs="Arial"/>
          <w:sz w:val="24"/>
          <w:lang w:val="es-ES"/>
        </w:rPr>
        <w:t>-estructurado para entrevista telefónica.</w:t>
      </w:r>
    </w:p>
    <w:p w:rsidR="00915592" w:rsidRPr="00915592" w:rsidRDefault="00915592" w:rsidP="00915592">
      <w:pPr>
        <w:jc w:val="both"/>
        <w:rPr>
          <w:rFonts w:ascii="Arial" w:hAnsi="Arial" w:cs="Arial"/>
          <w:sz w:val="24"/>
          <w:szCs w:val="24"/>
          <w:lang w:val="es-ES"/>
        </w:rPr>
      </w:pPr>
    </w:p>
    <w:p w:rsidR="00915592" w:rsidRDefault="00915592" w:rsidP="00915592">
      <w:pPr>
        <w:jc w:val="both"/>
        <w:rPr>
          <w:rFonts w:ascii="Arial" w:hAnsi="Arial" w:cs="Arial"/>
          <w:b/>
          <w:sz w:val="24"/>
          <w:szCs w:val="24"/>
          <w:lang w:val="es-ES"/>
        </w:rPr>
      </w:pPr>
      <w:r w:rsidRPr="00915592">
        <w:rPr>
          <w:rFonts w:ascii="Arial" w:hAnsi="Arial" w:cs="Arial"/>
          <w:b/>
          <w:sz w:val="24"/>
          <w:szCs w:val="24"/>
          <w:lang w:val="es-ES"/>
        </w:rPr>
        <w:t>Procedimientos:</w:t>
      </w:r>
    </w:p>
    <w:p w:rsidR="00C33AD9" w:rsidRPr="00C33AD9" w:rsidRDefault="00C33AD9" w:rsidP="00C33AD9">
      <w:pPr>
        <w:ind w:firstLine="708"/>
        <w:jc w:val="both"/>
        <w:rPr>
          <w:rFonts w:ascii="Arial" w:hAnsi="Arial" w:cs="Arial"/>
          <w:sz w:val="24"/>
          <w:lang w:val="es-ES"/>
        </w:rPr>
      </w:pPr>
      <w:r w:rsidRPr="00C33AD9">
        <w:rPr>
          <w:rFonts w:ascii="Arial" w:hAnsi="Arial" w:cs="Arial"/>
          <w:sz w:val="24"/>
          <w:lang w:val="es-ES"/>
        </w:rPr>
        <w:t xml:space="preserve">El trabajo de campo fue supervisado, y el material revisado por funcionarios del departamento de crítica y de procesamiento de la empresa. El equipo de </w:t>
      </w:r>
      <w:proofErr w:type="spellStart"/>
      <w:r w:rsidRPr="00C33AD9">
        <w:rPr>
          <w:rFonts w:ascii="Arial" w:hAnsi="Arial" w:cs="Arial"/>
          <w:sz w:val="24"/>
          <w:lang w:val="es-ES"/>
        </w:rPr>
        <w:t>Unimer</w:t>
      </w:r>
      <w:proofErr w:type="spellEnd"/>
      <w:r w:rsidRPr="00C33AD9">
        <w:rPr>
          <w:rFonts w:ascii="Arial" w:hAnsi="Arial" w:cs="Arial"/>
          <w:sz w:val="24"/>
          <w:lang w:val="es-ES"/>
        </w:rPr>
        <w:t xml:space="preserve"> fue coordinado por la Directora de Proyectos Ana Raquel Meléndez quien fungió como enlace con las investigadoras del PEN.</w:t>
      </w:r>
    </w:p>
    <w:p w:rsidR="00C33AD9" w:rsidRPr="00C33AD9" w:rsidRDefault="00C33AD9" w:rsidP="00C33AD9">
      <w:pPr>
        <w:ind w:firstLine="708"/>
        <w:jc w:val="both"/>
        <w:rPr>
          <w:rFonts w:ascii="Arial" w:hAnsi="Arial" w:cs="Arial"/>
          <w:sz w:val="24"/>
          <w:lang w:val="es-ES"/>
        </w:rPr>
      </w:pPr>
      <w:r w:rsidRPr="00C33AD9">
        <w:rPr>
          <w:rFonts w:ascii="Arial" w:hAnsi="Arial" w:cs="Arial"/>
          <w:sz w:val="24"/>
          <w:lang w:val="es-ES"/>
        </w:rPr>
        <w:t>Para el análisis de la información cuantitativa, se elaboraron tablas de doble entrada, con estimaciones de frecuencia y promedios, y se hicieron pruebas de Chi- Cuadrado para conocer la relación entre las variables de interés del estudio y se hicieron pruebas de medias para aquellas en las que analizaron promedios. Se trabajó con un nivel de confianza del 95%.</w:t>
      </w:r>
    </w:p>
    <w:p w:rsidR="0027009D" w:rsidRDefault="0027009D" w:rsidP="0027009D">
      <w:pPr>
        <w:tabs>
          <w:tab w:val="left" w:pos="10206"/>
        </w:tabs>
        <w:jc w:val="both"/>
        <w:rPr>
          <w:rFonts w:ascii="Arial" w:hAnsi="Arial" w:cs="Arial"/>
          <w:b/>
          <w:sz w:val="24"/>
          <w:szCs w:val="24"/>
          <w:lang w:val="es-ES"/>
        </w:rPr>
      </w:pPr>
    </w:p>
    <w:p w:rsidR="00915592" w:rsidRPr="00FA2129" w:rsidRDefault="00915592" w:rsidP="0027009D">
      <w:pPr>
        <w:tabs>
          <w:tab w:val="left" w:pos="10206"/>
        </w:tabs>
        <w:jc w:val="both"/>
        <w:rPr>
          <w:rFonts w:ascii="Arial" w:hAnsi="Arial"/>
          <w:b/>
          <w:szCs w:val="24"/>
          <w:lang w:val="es-ES_tradnl"/>
        </w:rPr>
      </w:pPr>
    </w:p>
    <w:p w:rsidR="0027009D" w:rsidRPr="00D47473" w:rsidRDefault="0027009D">
      <w:pPr>
        <w:widowControl/>
        <w:spacing w:after="160" w:line="259" w:lineRule="auto"/>
        <w:rPr>
          <w:rFonts w:ascii="Arial" w:hAnsi="Arial" w:cs="Arial"/>
          <w:b/>
          <w:sz w:val="24"/>
          <w:lang w:val="es-CR"/>
        </w:rPr>
      </w:pPr>
      <w:r>
        <w:rPr>
          <w:rFonts w:ascii="Arial" w:hAnsi="Arial" w:cs="Arial"/>
          <w:b/>
          <w:sz w:val="24"/>
          <w:lang w:val="es-ES_tradnl"/>
        </w:rPr>
        <w:lastRenderedPageBreak/>
        <w:t>Trabajo de campo</w:t>
      </w:r>
      <w:r w:rsidR="00D47473">
        <w:rPr>
          <w:rFonts w:ascii="Arial" w:hAnsi="Arial" w:cs="Arial"/>
          <w:b/>
          <w:sz w:val="24"/>
          <w:lang w:val="es-ES_tradnl"/>
        </w:rPr>
        <w:t xml:space="preserve">: </w:t>
      </w:r>
      <w:r w:rsidR="00D47473" w:rsidRPr="00D47473">
        <w:rPr>
          <w:rFonts w:ascii="Arial" w:hAnsi="Arial" w:cs="Arial"/>
          <w:sz w:val="24"/>
          <w:lang w:val="es-CR"/>
        </w:rPr>
        <w:t xml:space="preserve">La encuesta fue realizada por un equipo de encuestadores de la empresa </w:t>
      </w:r>
      <w:proofErr w:type="spellStart"/>
      <w:r w:rsidR="00D47473" w:rsidRPr="00D47473">
        <w:rPr>
          <w:rFonts w:ascii="Arial" w:hAnsi="Arial" w:cs="Arial"/>
          <w:sz w:val="24"/>
          <w:lang w:val="es-CR"/>
        </w:rPr>
        <w:t>Unimer</w:t>
      </w:r>
      <w:proofErr w:type="spellEnd"/>
      <w:r w:rsidR="00D47473" w:rsidRPr="00D47473">
        <w:rPr>
          <w:rFonts w:ascii="Arial" w:hAnsi="Arial" w:cs="Arial"/>
          <w:sz w:val="24"/>
          <w:lang w:val="es-CR"/>
        </w:rPr>
        <w:t xml:space="preserve"> del 20 de agosto al 1 de octubre de 2016</w:t>
      </w:r>
      <w:r w:rsidR="00D47473">
        <w:rPr>
          <w:rFonts w:ascii="Arial" w:hAnsi="Arial" w:cs="Arial"/>
          <w:sz w:val="24"/>
          <w:lang w:val="es-CR"/>
        </w:rPr>
        <w:t>.</w:t>
      </w:r>
    </w:p>
    <w:p w:rsidR="00D47473" w:rsidRDefault="0027009D" w:rsidP="00D47473">
      <w:pPr>
        <w:widowControl/>
        <w:spacing w:after="160" w:line="259" w:lineRule="auto"/>
        <w:rPr>
          <w:rFonts w:ascii="Arial" w:hAnsi="Arial" w:cs="Arial"/>
          <w:b/>
          <w:sz w:val="24"/>
          <w:szCs w:val="24"/>
          <w:lang w:val="es-ES_tradnl"/>
        </w:rPr>
      </w:pPr>
      <w:r w:rsidRPr="00915592">
        <w:rPr>
          <w:rFonts w:ascii="Arial" w:hAnsi="Arial" w:cs="Arial"/>
          <w:b/>
          <w:sz w:val="24"/>
          <w:szCs w:val="24"/>
          <w:lang w:val="es-ES_tradnl"/>
        </w:rPr>
        <w:t>Objetivo</w:t>
      </w:r>
      <w:r w:rsidR="008218BE">
        <w:rPr>
          <w:rFonts w:ascii="Arial" w:hAnsi="Arial" w:cs="Arial"/>
          <w:b/>
          <w:sz w:val="24"/>
          <w:szCs w:val="24"/>
          <w:lang w:val="es-ES_tradnl"/>
        </w:rPr>
        <w:t>s</w:t>
      </w:r>
      <w:r w:rsidRPr="00915592">
        <w:rPr>
          <w:rFonts w:ascii="Arial" w:hAnsi="Arial" w:cs="Arial"/>
          <w:b/>
          <w:sz w:val="24"/>
          <w:szCs w:val="24"/>
          <w:lang w:val="es-ES_tradnl"/>
        </w:rPr>
        <w:t>:</w:t>
      </w:r>
    </w:p>
    <w:p w:rsidR="00D47473" w:rsidRPr="00D47473" w:rsidRDefault="00D47473" w:rsidP="00D47473">
      <w:pPr>
        <w:pStyle w:val="Prrafodelista"/>
        <w:widowControl/>
        <w:numPr>
          <w:ilvl w:val="0"/>
          <w:numId w:val="5"/>
        </w:numPr>
        <w:spacing w:after="160" w:line="259" w:lineRule="auto"/>
        <w:rPr>
          <w:rFonts w:ascii="Arial" w:hAnsi="Arial" w:cs="Arial"/>
          <w:sz w:val="24"/>
          <w:lang w:val="es-CR"/>
        </w:rPr>
      </w:pPr>
      <w:bookmarkStart w:id="3" w:name="_Toc416878115"/>
      <w:bookmarkStart w:id="4" w:name="_Toc416878321"/>
      <w:bookmarkStart w:id="5" w:name="_Toc419275885"/>
      <w:r w:rsidRPr="00D47473">
        <w:rPr>
          <w:rFonts w:ascii="Arial" w:hAnsi="Arial" w:cs="Arial"/>
          <w:sz w:val="24"/>
          <w:lang w:val="es-CR"/>
        </w:rPr>
        <w:t>Entender cómo valoran los empleadores de graduados de universidades de Costa Rica la calidad de la educación superior.</w:t>
      </w:r>
    </w:p>
    <w:p w:rsidR="00D47473" w:rsidRPr="00D47473" w:rsidRDefault="00D47473" w:rsidP="00D47473">
      <w:pPr>
        <w:pStyle w:val="Prrafodelista"/>
        <w:widowControl/>
        <w:numPr>
          <w:ilvl w:val="0"/>
          <w:numId w:val="5"/>
        </w:numPr>
        <w:spacing w:after="160" w:line="259" w:lineRule="auto"/>
        <w:rPr>
          <w:rFonts w:ascii="Arial" w:hAnsi="Arial" w:cs="Arial"/>
          <w:sz w:val="24"/>
          <w:lang w:val="es-CR"/>
        </w:rPr>
      </w:pPr>
      <w:r w:rsidRPr="00D47473">
        <w:rPr>
          <w:rFonts w:ascii="Arial" w:hAnsi="Arial" w:cs="Arial"/>
          <w:sz w:val="24"/>
          <w:lang w:val="es-CR"/>
        </w:rPr>
        <w:t>Entender el rol que juega la acreditación de las instituciones en la decisión de contratación de los graduados.</w:t>
      </w:r>
    </w:p>
    <w:p w:rsidR="00D47473" w:rsidRPr="00D47473" w:rsidRDefault="00D47473" w:rsidP="00D47473">
      <w:pPr>
        <w:pStyle w:val="Prrafodelista"/>
        <w:widowControl/>
        <w:numPr>
          <w:ilvl w:val="0"/>
          <w:numId w:val="5"/>
        </w:numPr>
        <w:spacing w:after="160" w:line="259" w:lineRule="auto"/>
        <w:rPr>
          <w:rFonts w:ascii="Arial" w:hAnsi="Arial" w:cs="Arial"/>
          <w:sz w:val="24"/>
          <w:lang w:val="es-CR"/>
        </w:rPr>
      </w:pPr>
      <w:r w:rsidRPr="00D47473">
        <w:rPr>
          <w:rFonts w:ascii="Arial" w:hAnsi="Arial" w:cs="Arial"/>
          <w:sz w:val="24"/>
          <w:lang w:val="es-CR"/>
        </w:rPr>
        <w:t>Comprender la percepción de calidad de la oferta de la educación superior en Costa Rica y los mecanismos de aseguramiento de la calidad vigentes.</w:t>
      </w:r>
    </w:p>
    <w:bookmarkEnd w:id="3"/>
    <w:bookmarkEnd w:id="4"/>
    <w:bookmarkEnd w:id="5"/>
    <w:p w:rsidR="00D47473" w:rsidRPr="00D47473" w:rsidRDefault="00D47473" w:rsidP="00D47473">
      <w:pPr>
        <w:pStyle w:val="Prrafodelista"/>
        <w:widowControl/>
        <w:spacing w:after="160" w:line="259" w:lineRule="auto"/>
        <w:rPr>
          <w:rFonts w:ascii="Arial" w:hAnsi="Arial" w:cs="Arial"/>
          <w:b/>
          <w:sz w:val="24"/>
          <w:szCs w:val="24"/>
          <w:lang w:val="es-ES_tradnl"/>
        </w:rPr>
      </w:pPr>
    </w:p>
    <w:p w:rsidR="00915592" w:rsidRPr="00915592" w:rsidRDefault="00915592" w:rsidP="00915592">
      <w:pPr>
        <w:jc w:val="both"/>
        <w:rPr>
          <w:rFonts w:ascii="Arial" w:hAnsi="Arial" w:cs="Arial"/>
          <w:b/>
          <w:sz w:val="24"/>
          <w:lang w:val="es-ES"/>
        </w:rPr>
      </w:pPr>
      <w:r w:rsidRPr="00915592">
        <w:rPr>
          <w:rFonts w:ascii="Arial" w:hAnsi="Arial" w:cs="Arial"/>
          <w:b/>
          <w:sz w:val="24"/>
          <w:lang w:val="es-ES"/>
        </w:rPr>
        <w:t>Documentos:</w:t>
      </w:r>
    </w:p>
    <w:p w:rsidR="0027009D" w:rsidRDefault="0027009D" w:rsidP="00915592">
      <w:pPr>
        <w:pStyle w:val="Prrafodelista"/>
        <w:jc w:val="both"/>
        <w:rPr>
          <w:rFonts w:ascii="Arial" w:hAnsi="Arial" w:cs="Arial"/>
          <w:lang w:val="es-ES"/>
        </w:rPr>
      </w:pPr>
    </w:p>
    <w:p w:rsidR="0047172D" w:rsidRPr="00D47473" w:rsidRDefault="0047172D" w:rsidP="00D47473">
      <w:pPr>
        <w:jc w:val="both"/>
        <w:rPr>
          <w:rFonts w:ascii="Arial" w:hAnsi="Arial" w:cs="Arial"/>
          <w:sz w:val="24"/>
          <w:lang w:val="es-ES"/>
        </w:rPr>
      </w:pPr>
      <w:r w:rsidRPr="00D47473">
        <w:rPr>
          <w:rFonts w:ascii="Arial" w:hAnsi="Arial" w:cs="Arial"/>
          <w:sz w:val="24"/>
          <w:lang w:val="es-ES"/>
        </w:rPr>
        <w:t xml:space="preserve">Base de datos </w:t>
      </w:r>
      <w:r w:rsidR="006053FB" w:rsidRPr="00D47473">
        <w:rPr>
          <w:rFonts w:ascii="Arial" w:hAnsi="Arial" w:cs="Arial"/>
          <w:sz w:val="24"/>
          <w:lang w:val="es-ES"/>
        </w:rPr>
        <w:t xml:space="preserve">de la calidad y acreditación de la educación superior desde la perspectiva de los </w:t>
      </w:r>
      <w:r w:rsidR="00223D97">
        <w:rPr>
          <w:rFonts w:ascii="Arial" w:hAnsi="Arial" w:cs="Arial"/>
          <w:sz w:val="24"/>
          <w:lang w:val="es-ES"/>
        </w:rPr>
        <w:t>empleadores.</w:t>
      </w:r>
    </w:p>
    <w:sectPr w:rsidR="0047172D" w:rsidRPr="00D474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5D6"/>
    <w:multiLevelType w:val="hybridMultilevel"/>
    <w:tmpl w:val="3FEE1F4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50F1B85"/>
    <w:multiLevelType w:val="hybridMultilevel"/>
    <w:tmpl w:val="41502F5C"/>
    <w:lvl w:ilvl="0" w:tplc="9CBC77A4">
      <w:numFmt w:val="bullet"/>
      <w:lvlText w:val=""/>
      <w:lvlJc w:val="left"/>
      <w:pPr>
        <w:ind w:left="720" w:hanging="360"/>
      </w:pPr>
      <w:rPr>
        <w:rFonts w:ascii="Symbol" w:eastAsia="Calibri"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A5035C0"/>
    <w:multiLevelType w:val="hybridMultilevel"/>
    <w:tmpl w:val="79BA3390"/>
    <w:lvl w:ilvl="0" w:tplc="A1F81AF4">
      <w:numFmt w:val="bullet"/>
      <w:lvlText w:val=""/>
      <w:lvlJc w:val="left"/>
      <w:pPr>
        <w:ind w:left="720" w:hanging="360"/>
      </w:pPr>
      <w:rPr>
        <w:rFonts w:ascii="Symbol" w:eastAsia="Calibri"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351E0406"/>
    <w:multiLevelType w:val="hybridMultilevel"/>
    <w:tmpl w:val="6E8A4414"/>
    <w:lvl w:ilvl="0" w:tplc="8856C54C">
      <w:start w:val="1"/>
      <w:numFmt w:val="bullet"/>
      <w:lvlText w:val=""/>
      <w:lvlJc w:val="left"/>
      <w:pPr>
        <w:tabs>
          <w:tab w:val="num" w:pos="567"/>
        </w:tabs>
        <w:ind w:left="567" w:hanging="283"/>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E35E8B"/>
    <w:multiLevelType w:val="hybridMultilevel"/>
    <w:tmpl w:val="A6E2B674"/>
    <w:lvl w:ilvl="0" w:tplc="140A0005">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9D"/>
    <w:rsid w:val="001242FD"/>
    <w:rsid w:val="0013009C"/>
    <w:rsid w:val="00223D97"/>
    <w:rsid w:val="00257520"/>
    <w:rsid w:val="0027009D"/>
    <w:rsid w:val="0045171C"/>
    <w:rsid w:val="0047172D"/>
    <w:rsid w:val="006053FB"/>
    <w:rsid w:val="007400C4"/>
    <w:rsid w:val="008218BE"/>
    <w:rsid w:val="00915592"/>
    <w:rsid w:val="0099561D"/>
    <w:rsid w:val="00B20488"/>
    <w:rsid w:val="00C33AD9"/>
    <w:rsid w:val="00D47473"/>
    <w:rsid w:val="00D733DD"/>
    <w:rsid w:val="00F7772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A07E"/>
  <w15:chartTrackingRefBased/>
  <w15:docId w15:val="{66B7334D-B871-449E-BC5A-2603D408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009D"/>
    <w:pPr>
      <w:widowControl w:val="0"/>
      <w:spacing w:after="0" w:line="240" w:lineRule="auto"/>
    </w:pPr>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15592"/>
    <w:pPr>
      <w:ind w:left="720"/>
      <w:contextualSpacing/>
    </w:pPr>
  </w:style>
  <w:style w:type="character" w:customStyle="1" w:styleId="PrrafodelistaCar">
    <w:name w:val="Párrafo de lista Car"/>
    <w:basedOn w:val="Fuentedeprrafopredeter"/>
    <w:link w:val="Prrafodelista"/>
    <w:uiPriority w:val="34"/>
    <w:rsid w:val="008218B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910</Words>
  <Characters>5008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Estado</dc:creator>
  <cp:keywords/>
  <dc:description/>
  <cp:lastModifiedBy>Estado</cp:lastModifiedBy>
  <cp:revision>7</cp:revision>
  <dcterms:created xsi:type="dcterms:W3CDTF">2017-08-21T17:36:00Z</dcterms:created>
  <dcterms:modified xsi:type="dcterms:W3CDTF">2017-09-01T15:21:00Z</dcterms:modified>
</cp:coreProperties>
</file>